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8" w:rsidRPr="00EC404D" w:rsidRDefault="00923C38" w:rsidP="0040596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404D">
        <w:rPr>
          <w:rFonts w:ascii="Arial" w:hAnsi="Arial" w:cs="Arial"/>
          <w:b/>
          <w:sz w:val="22"/>
          <w:szCs w:val="22"/>
        </w:rPr>
        <w:t>People leaving New Zealand permanently and long-term having most recently lived in Christchurch</w:t>
      </w:r>
    </w:p>
    <w:p w:rsidR="00923C38" w:rsidRPr="00EC404D" w:rsidRDefault="00923C38">
      <w:pPr>
        <w:rPr>
          <w:rFonts w:ascii="Arial" w:hAnsi="Arial" w:cs="Arial"/>
          <w:sz w:val="22"/>
          <w:szCs w:val="22"/>
        </w:rPr>
      </w:pPr>
    </w:p>
    <w:p w:rsidR="00923C38" w:rsidRPr="00EC404D" w:rsidRDefault="00394618" w:rsidP="003946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note gives</w:t>
      </w:r>
      <w:r w:rsidR="00923C38" w:rsidRPr="00EC404D">
        <w:rPr>
          <w:rFonts w:ascii="Arial" w:hAnsi="Arial" w:cs="Arial"/>
          <w:sz w:val="22"/>
          <w:szCs w:val="22"/>
        </w:rPr>
        <w:t xml:space="preserve"> data on </w:t>
      </w:r>
      <w:r>
        <w:rPr>
          <w:rFonts w:ascii="Arial" w:hAnsi="Arial" w:cs="Arial"/>
          <w:sz w:val="22"/>
          <w:szCs w:val="22"/>
        </w:rPr>
        <w:t>young people leaving</w:t>
      </w:r>
      <w:r w:rsidR="00923C38" w:rsidRPr="00EC404D">
        <w:rPr>
          <w:rFonts w:ascii="Arial" w:hAnsi="Arial" w:cs="Arial"/>
          <w:sz w:val="22"/>
          <w:szCs w:val="22"/>
        </w:rPr>
        <w:t xml:space="preserve"> from New Zealand where the last place they lived was Christchurch.  </w:t>
      </w:r>
      <w:r w:rsidR="00405963">
        <w:rPr>
          <w:rFonts w:ascii="Arial" w:hAnsi="Arial" w:cs="Arial"/>
          <w:sz w:val="22"/>
          <w:szCs w:val="22"/>
        </w:rPr>
        <w:t>It compares the pattern of departures from Christchurch with the pattern in the rest of New Zealand.</w:t>
      </w:r>
    </w:p>
    <w:p w:rsidR="00923C38" w:rsidRDefault="00923C38" w:rsidP="00394618">
      <w:pPr>
        <w:jc w:val="both"/>
        <w:rPr>
          <w:rFonts w:ascii="Arial" w:hAnsi="Arial" w:cs="Arial"/>
          <w:sz w:val="22"/>
          <w:szCs w:val="22"/>
        </w:rPr>
      </w:pPr>
    </w:p>
    <w:p w:rsidR="00405963" w:rsidRPr="00405963" w:rsidRDefault="00405963" w:rsidP="00394618">
      <w:pPr>
        <w:jc w:val="both"/>
        <w:rPr>
          <w:rFonts w:ascii="Arial" w:hAnsi="Arial" w:cs="Arial"/>
          <w:b/>
          <w:sz w:val="22"/>
          <w:szCs w:val="22"/>
        </w:rPr>
      </w:pPr>
      <w:r w:rsidRPr="00405963">
        <w:rPr>
          <w:rFonts w:ascii="Arial" w:hAnsi="Arial" w:cs="Arial"/>
          <w:b/>
          <w:sz w:val="22"/>
          <w:szCs w:val="22"/>
        </w:rPr>
        <w:t>Christchurch</w:t>
      </w:r>
    </w:p>
    <w:p w:rsidR="00923C38" w:rsidRPr="00EC404D" w:rsidRDefault="00923C38" w:rsidP="00394618">
      <w:pPr>
        <w:jc w:val="both"/>
        <w:rPr>
          <w:rFonts w:ascii="Arial" w:hAnsi="Arial" w:cs="Arial"/>
          <w:sz w:val="22"/>
          <w:szCs w:val="22"/>
        </w:rPr>
      </w:pPr>
      <w:r w:rsidRPr="00EC404D">
        <w:rPr>
          <w:rFonts w:ascii="Arial" w:hAnsi="Arial" w:cs="Arial"/>
          <w:sz w:val="22"/>
          <w:szCs w:val="22"/>
        </w:rPr>
        <w:t>We have compared three distinct period</w:t>
      </w:r>
      <w:r w:rsidR="00EC1D27">
        <w:rPr>
          <w:rFonts w:ascii="Arial" w:hAnsi="Arial" w:cs="Arial"/>
          <w:sz w:val="22"/>
          <w:szCs w:val="22"/>
        </w:rPr>
        <w:t>s</w:t>
      </w:r>
      <w:r w:rsidRPr="00EC404D">
        <w:rPr>
          <w:rFonts w:ascii="Arial" w:hAnsi="Arial" w:cs="Arial"/>
          <w:sz w:val="22"/>
          <w:szCs w:val="22"/>
        </w:rPr>
        <w:t xml:space="preserve"> of time: January to June 2009, 2010 and 2011.  The results are shown in Figure 1 below:</w:t>
      </w:r>
    </w:p>
    <w:p w:rsidR="00923C38" w:rsidRPr="00EC404D" w:rsidRDefault="00923C38">
      <w:pPr>
        <w:rPr>
          <w:rFonts w:ascii="Arial" w:hAnsi="Arial" w:cs="Arial"/>
          <w:sz w:val="22"/>
          <w:szCs w:val="22"/>
        </w:rPr>
      </w:pPr>
    </w:p>
    <w:p w:rsidR="00923C38" w:rsidRPr="00394618" w:rsidRDefault="00923C38">
      <w:pPr>
        <w:rPr>
          <w:rFonts w:ascii="Arial" w:hAnsi="Arial" w:cs="Arial"/>
          <w:b/>
          <w:sz w:val="20"/>
          <w:szCs w:val="20"/>
        </w:rPr>
      </w:pPr>
      <w:r w:rsidRPr="00394618">
        <w:rPr>
          <w:rFonts w:ascii="Arial" w:hAnsi="Arial" w:cs="Arial"/>
          <w:b/>
          <w:sz w:val="20"/>
          <w:szCs w:val="20"/>
        </w:rPr>
        <w:t xml:space="preserve">Figure 1: </w:t>
      </w:r>
      <w:r w:rsidR="00394618">
        <w:rPr>
          <w:rFonts w:ascii="Arial" w:hAnsi="Arial" w:cs="Arial"/>
          <w:b/>
          <w:sz w:val="20"/>
          <w:szCs w:val="20"/>
        </w:rPr>
        <w:t>N</w:t>
      </w:r>
      <w:r w:rsidRPr="00394618">
        <w:rPr>
          <w:rFonts w:ascii="Arial" w:hAnsi="Arial" w:cs="Arial"/>
          <w:b/>
          <w:sz w:val="20"/>
          <w:szCs w:val="20"/>
        </w:rPr>
        <w:t xml:space="preserve">umber of </w:t>
      </w:r>
      <w:r w:rsidR="00405963">
        <w:rPr>
          <w:rFonts w:ascii="Arial" w:hAnsi="Arial" w:cs="Arial"/>
          <w:b/>
          <w:sz w:val="20"/>
          <w:szCs w:val="20"/>
        </w:rPr>
        <w:t xml:space="preserve">monthly </w:t>
      </w:r>
      <w:r w:rsidRPr="00394618">
        <w:rPr>
          <w:rFonts w:ascii="Arial" w:hAnsi="Arial" w:cs="Arial"/>
          <w:b/>
          <w:sz w:val="20"/>
          <w:szCs w:val="20"/>
        </w:rPr>
        <w:t xml:space="preserve">permanent and long term leavers </w:t>
      </w:r>
      <w:r w:rsidR="00405963" w:rsidRPr="00394618">
        <w:rPr>
          <w:rFonts w:ascii="Arial" w:hAnsi="Arial" w:cs="Arial"/>
          <w:b/>
          <w:sz w:val="20"/>
          <w:szCs w:val="20"/>
        </w:rPr>
        <w:t>aged 15-39</w:t>
      </w:r>
      <w:r w:rsidR="00405963">
        <w:rPr>
          <w:rFonts w:ascii="Arial" w:hAnsi="Arial" w:cs="Arial"/>
          <w:b/>
          <w:sz w:val="20"/>
          <w:szCs w:val="20"/>
        </w:rPr>
        <w:t xml:space="preserve"> </w:t>
      </w:r>
      <w:r w:rsidRPr="00394618">
        <w:rPr>
          <w:rFonts w:ascii="Arial" w:hAnsi="Arial" w:cs="Arial"/>
          <w:b/>
          <w:sz w:val="20"/>
          <w:szCs w:val="20"/>
        </w:rPr>
        <w:t xml:space="preserve">from </w:t>
      </w:r>
      <w:r w:rsidR="00405963">
        <w:rPr>
          <w:rFonts w:ascii="Arial" w:hAnsi="Arial" w:cs="Arial"/>
          <w:b/>
          <w:sz w:val="20"/>
          <w:szCs w:val="20"/>
        </w:rPr>
        <w:t xml:space="preserve">greater </w:t>
      </w:r>
      <w:r w:rsidRPr="00394618">
        <w:rPr>
          <w:rFonts w:ascii="Arial" w:hAnsi="Arial" w:cs="Arial"/>
          <w:b/>
          <w:sz w:val="20"/>
          <w:szCs w:val="20"/>
        </w:rPr>
        <w:t xml:space="preserve">Christchurch </w:t>
      </w:r>
      <w:r w:rsidR="00405963">
        <w:rPr>
          <w:rFonts w:ascii="Arial" w:hAnsi="Arial" w:cs="Arial"/>
          <w:b/>
          <w:sz w:val="20"/>
          <w:szCs w:val="20"/>
        </w:rPr>
        <w:t>in</w:t>
      </w:r>
      <w:r w:rsidRPr="00394618">
        <w:rPr>
          <w:rFonts w:ascii="Arial" w:hAnsi="Arial" w:cs="Arial"/>
          <w:b/>
          <w:sz w:val="20"/>
          <w:szCs w:val="20"/>
        </w:rPr>
        <w:t xml:space="preserve"> first half of 2009, 2010 and 2011</w:t>
      </w:r>
    </w:p>
    <w:p w:rsidR="00405963" w:rsidRPr="00741F5D" w:rsidRDefault="00923C38" w:rsidP="00405963">
      <w:pPr>
        <w:jc w:val="both"/>
        <w:rPr>
          <w:rFonts w:ascii="Arial" w:hAnsi="Arial" w:cs="Arial"/>
          <w:sz w:val="16"/>
          <w:szCs w:val="16"/>
        </w:rPr>
      </w:pPr>
      <w:r w:rsidRPr="00EC404D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>
            <wp:extent cx="5274310" cy="3364971"/>
            <wp:effectExtent l="19050" t="0" r="21590" b="6879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05963" w:rsidRPr="00741F5D">
        <w:rPr>
          <w:rFonts w:ascii="Arial" w:hAnsi="Arial" w:cs="Arial"/>
          <w:sz w:val="16"/>
          <w:szCs w:val="16"/>
        </w:rPr>
        <w:t>Source: Statistics New Zealand</w:t>
      </w:r>
    </w:p>
    <w:p w:rsidR="00F05F17" w:rsidRDefault="00405963" w:rsidP="00405963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sz w:val="16"/>
          <w:szCs w:val="16"/>
        </w:rPr>
        <w:t xml:space="preserve">  </w:t>
      </w: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Districts.</w:t>
      </w:r>
    </w:p>
    <w:p w:rsidR="00405963" w:rsidRPr="00EC404D" w:rsidRDefault="00405963" w:rsidP="00405963">
      <w:pPr>
        <w:jc w:val="both"/>
        <w:rPr>
          <w:rFonts w:ascii="Arial" w:hAnsi="Arial" w:cs="Arial"/>
          <w:sz w:val="22"/>
          <w:szCs w:val="22"/>
        </w:rPr>
      </w:pPr>
    </w:p>
    <w:p w:rsidR="00E74C20" w:rsidRDefault="00394618" w:rsidP="003946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expected, there was a</w:t>
      </w:r>
      <w:r w:rsidR="00045FA4" w:rsidRPr="00EC404D">
        <w:rPr>
          <w:rFonts w:ascii="Arial" w:hAnsi="Arial" w:cs="Arial"/>
          <w:sz w:val="22"/>
          <w:szCs w:val="22"/>
        </w:rPr>
        <w:t xml:space="preserve"> spike in departures for all age groups between February and April 2011 </w:t>
      </w:r>
      <w:r>
        <w:rPr>
          <w:rFonts w:ascii="Arial" w:hAnsi="Arial" w:cs="Arial"/>
          <w:sz w:val="22"/>
          <w:szCs w:val="22"/>
        </w:rPr>
        <w:t xml:space="preserve">– a response to </w:t>
      </w:r>
      <w:r w:rsidR="00045FA4" w:rsidRPr="00EC404D">
        <w:rPr>
          <w:rFonts w:ascii="Arial" w:hAnsi="Arial" w:cs="Arial"/>
          <w:sz w:val="22"/>
          <w:szCs w:val="22"/>
        </w:rPr>
        <w:t xml:space="preserve">the effects of the earthquake.  </w:t>
      </w:r>
      <w:r w:rsidR="00E74C20" w:rsidRPr="00EC404D">
        <w:rPr>
          <w:rFonts w:ascii="Arial" w:hAnsi="Arial" w:cs="Arial"/>
          <w:sz w:val="22"/>
          <w:szCs w:val="22"/>
        </w:rPr>
        <w:t xml:space="preserve">The numbers of people leaving in the 15-39 year age groups reduced </w:t>
      </w:r>
      <w:r w:rsidR="00953E48" w:rsidRPr="00EC404D">
        <w:rPr>
          <w:rFonts w:ascii="Arial" w:hAnsi="Arial" w:cs="Arial"/>
          <w:sz w:val="22"/>
          <w:szCs w:val="22"/>
        </w:rPr>
        <w:t>again toward the middle of 2011, suggesting that the earthquake’s effect on decisions to leave New Zealand may no</w:t>
      </w:r>
      <w:r w:rsidR="00405963">
        <w:rPr>
          <w:rFonts w:ascii="Arial" w:hAnsi="Arial" w:cs="Arial"/>
          <w:sz w:val="22"/>
          <w:szCs w:val="22"/>
        </w:rPr>
        <w:t xml:space="preserve">t have been very long lasting. </w:t>
      </w:r>
    </w:p>
    <w:p w:rsidR="00405963" w:rsidRDefault="00405963" w:rsidP="00394618">
      <w:pPr>
        <w:jc w:val="both"/>
        <w:rPr>
          <w:rFonts w:ascii="Arial" w:hAnsi="Arial" w:cs="Arial"/>
          <w:sz w:val="22"/>
          <w:szCs w:val="22"/>
        </w:rPr>
      </w:pPr>
    </w:p>
    <w:p w:rsidR="00405963" w:rsidRPr="00EC404D" w:rsidRDefault="00405963" w:rsidP="003946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expected the groups with the greatest p</w:t>
      </w:r>
      <w:r w:rsidR="002572D4">
        <w:rPr>
          <w:rFonts w:ascii="Arial" w:hAnsi="Arial" w:cs="Arial"/>
          <w:sz w:val="22"/>
          <w:szCs w:val="22"/>
        </w:rPr>
        <w:t>ropensity to leave were the 20-2</w:t>
      </w:r>
      <w:r>
        <w:rPr>
          <w:rFonts w:ascii="Arial" w:hAnsi="Arial" w:cs="Arial"/>
          <w:sz w:val="22"/>
          <w:szCs w:val="22"/>
        </w:rPr>
        <w:t>4 and 25-19 year age groups – these groups are the most mobile as people in these age groups are independent but less likely to have children or to own houses.  The 20-24 year age group showed an especially sharp peak in departures.</w:t>
      </w:r>
    </w:p>
    <w:p w:rsidR="00E74C20" w:rsidRPr="00EC404D" w:rsidRDefault="00E74C20" w:rsidP="00394618">
      <w:pPr>
        <w:jc w:val="both"/>
        <w:rPr>
          <w:rFonts w:ascii="Arial" w:hAnsi="Arial" w:cs="Arial"/>
          <w:sz w:val="22"/>
          <w:szCs w:val="22"/>
        </w:rPr>
      </w:pPr>
    </w:p>
    <w:p w:rsidR="00E74C20" w:rsidRPr="00EC404D" w:rsidRDefault="00E74C20" w:rsidP="00394618">
      <w:pPr>
        <w:jc w:val="both"/>
        <w:rPr>
          <w:rFonts w:ascii="Arial" w:hAnsi="Arial" w:cs="Arial"/>
          <w:sz w:val="22"/>
          <w:szCs w:val="22"/>
        </w:rPr>
      </w:pPr>
      <w:r w:rsidRPr="00EC404D">
        <w:rPr>
          <w:rFonts w:ascii="Arial" w:hAnsi="Arial" w:cs="Arial"/>
          <w:sz w:val="22"/>
          <w:szCs w:val="22"/>
        </w:rPr>
        <w:t xml:space="preserve">The population </w:t>
      </w:r>
      <w:r w:rsidR="00394618">
        <w:rPr>
          <w:rFonts w:ascii="Arial" w:hAnsi="Arial" w:cs="Arial"/>
          <w:sz w:val="22"/>
          <w:szCs w:val="22"/>
        </w:rPr>
        <w:t>with the greatest</w:t>
      </w:r>
      <w:r w:rsidRPr="00EC404D">
        <w:rPr>
          <w:rFonts w:ascii="Arial" w:hAnsi="Arial" w:cs="Arial"/>
          <w:sz w:val="22"/>
          <w:szCs w:val="22"/>
        </w:rPr>
        <w:t xml:space="preserve"> change</w:t>
      </w:r>
      <w:r w:rsidR="00394618">
        <w:rPr>
          <w:rFonts w:ascii="Arial" w:hAnsi="Arial" w:cs="Arial"/>
          <w:sz w:val="22"/>
          <w:szCs w:val="22"/>
        </w:rPr>
        <w:t xml:space="preserve"> in</w:t>
      </w:r>
      <w:r w:rsidRPr="00EC404D">
        <w:rPr>
          <w:rFonts w:ascii="Arial" w:hAnsi="Arial" w:cs="Arial"/>
          <w:sz w:val="22"/>
          <w:szCs w:val="22"/>
        </w:rPr>
        <w:t xml:space="preserve"> pattern</w:t>
      </w:r>
      <w:r w:rsidR="00953E48" w:rsidRPr="00EC404D">
        <w:rPr>
          <w:rFonts w:ascii="Arial" w:hAnsi="Arial" w:cs="Arial"/>
          <w:sz w:val="22"/>
          <w:szCs w:val="22"/>
        </w:rPr>
        <w:t xml:space="preserve"> is the 15-19 year group of leavers</w:t>
      </w:r>
      <w:r w:rsidR="00394618">
        <w:rPr>
          <w:rFonts w:ascii="Arial" w:hAnsi="Arial" w:cs="Arial"/>
          <w:sz w:val="22"/>
          <w:szCs w:val="22"/>
        </w:rPr>
        <w:t>.  In previous years, this group, as expected</w:t>
      </w:r>
      <w:r w:rsidR="00953E48" w:rsidRPr="00EC404D">
        <w:rPr>
          <w:rFonts w:ascii="Arial" w:hAnsi="Arial" w:cs="Arial"/>
          <w:sz w:val="22"/>
          <w:szCs w:val="22"/>
        </w:rPr>
        <w:t xml:space="preserve">, </w:t>
      </w:r>
      <w:r w:rsidR="00405963">
        <w:rPr>
          <w:rFonts w:ascii="Arial" w:hAnsi="Arial" w:cs="Arial"/>
          <w:sz w:val="22"/>
          <w:szCs w:val="22"/>
        </w:rPr>
        <w:t xml:space="preserve">had a relatively small number of departures, with </w:t>
      </w:r>
      <w:r w:rsidR="00953E48" w:rsidRPr="00EC404D">
        <w:rPr>
          <w:rFonts w:ascii="Arial" w:hAnsi="Arial" w:cs="Arial"/>
          <w:sz w:val="22"/>
          <w:szCs w:val="22"/>
        </w:rPr>
        <w:t xml:space="preserve">most </w:t>
      </w:r>
      <w:r w:rsidR="00EC1D27">
        <w:rPr>
          <w:rFonts w:ascii="Arial" w:hAnsi="Arial" w:cs="Arial"/>
          <w:sz w:val="22"/>
          <w:szCs w:val="22"/>
        </w:rPr>
        <w:t>leav</w:t>
      </w:r>
      <w:r w:rsidR="00405963">
        <w:rPr>
          <w:rFonts w:ascii="Arial" w:hAnsi="Arial" w:cs="Arial"/>
          <w:sz w:val="22"/>
          <w:szCs w:val="22"/>
        </w:rPr>
        <w:t>ing</w:t>
      </w:r>
      <w:r w:rsidR="00953E48" w:rsidRPr="00EC404D">
        <w:rPr>
          <w:rFonts w:ascii="Arial" w:hAnsi="Arial" w:cs="Arial"/>
          <w:sz w:val="22"/>
          <w:szCs w:val="22"/>
        </w:rPr>
        <w:t xml:space="preserve"> in January</w:t>
      </w:r>
      <w:r w:rsidR="00405963">
        <w:rPr>
          <w:rFonts w:ascii="Arial" w:hAnsi="Arial" w:cs="Arial"/>
          <w:sz w:val="22"/>
          <w:szCs w:val="22"/>
        </w:rPr>
        <w:t>.</w:t>
      </w:r>
      <w:r w:rsidR="00953E48" w:rsidRPr="00EC40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3E48" w:rsidRPr="00EC404D">
        <w:rPr>
          <w:rFonts w:ascii="Arial" w:hAnsi="Arial" w:cs="Arial"/>
          <w:sz w:val="22"/>
          <w:szCs w:val="22"/>
        </w:rPr>
        <w:t xml:space="preserve">However, in 2011, this group </w:t>
      </w:r>
      <w:r w:rsidR="00EC1D27">
        <w:rPr>
          <w:rFonts w:ascii="Arial" w:hAnsi="Arial" w:cs="Arial"/>
          <w:sz w:val="22"/>
          <w:szCs w:val="22"/>
        </w:rPr>
        <w:t xml:space="preserve">of leavers </w:t>
      </w:r>
      <w:r w:rsidR="00953E48" w:rsidRPr="00EC404D">
        <w:rPr>
          <w:rFonts w:ascii="Arial" w:hAnsi="Arial" w:cs="Arial"/>
          <w:sz w:val="22"/>
          <w:szCs w:val="22"/>
        </w:rPr>
        <w:t xml:space="preserve">spiked </w:t>
      </w:r>
      <w:r w:rsidR="00405963">
        <w:rPr>
          <w:rFonts w:ascii="Arial" w:hAnsi="Arial" w:cs="Arial"/>
          <w:sz w:val="22"/>
          <w:szCs w:val="22"/>
        </w:rPr>
        <w:t>in March</w:t>
      </w:r>
      <w:r w:rsidR="00953E48" w:rsidRPr="00EC404D">
        <w:rPr>
          <w:rFonts w:ascii="Arial" w:hAnsi="Arial" w:cs="Arial"/>
          <w:sz w:val="22"/>
          <w:szCs w:val="22"/>
        </w:rPr>
        <w:t xml:space="preserve"> before dropping away.</w:t>
      </w:r>
      <w:proofErr w:type="gramEnd"/>
      <w:r w:rsidR="00953E48" w:rsidRPr="00EC404D">
        <w:rPr>
          <w:rFonts w:ascii="Arial" w:hAnsi="Arial" w:cs="Arial"/>
          <w:sz w:val="22"/>
          <w:szCs w:val="22"/>
        </w:rPr>
        <w:t xml:space="preserve">  </w:t>
      </w:r>
    </w:p>
    <w:p w:rsidR="00E74C20" w:rsidRPr="00EC404D" w:rsidRDefault="00E74C20" w:rsidP="00394618">
      <w:pPr>
        <w:jc w:val="both"/>
        <w:rPr>
          <w:rFonts w:ascii="Arial" w:hAnsi="Arial" w:cs="Arial"/>
          <w:sz w:val="22"/>
          <w:szCs w:val="22"/>
        </w:rPr>
      </w:pPr>
    </w:p>
    <w:p w:rsidR="006219FA" w:rsidRDefault="006219FA">
      <w:pPr>
        <w:rPr>
          <w:rFonts w:ascii="Arial" w:hAnsi="Arial" w:cs="Arial"/>
          <w:b/>
          <w:sz w:val="22"/>
          <w:szCs w:val="22"/>
        </w:rPr>
      </w:pPr>
    </w:p>
    <w:p w:rsidR="006219FA" w:rsidRDefault="006219FA">
      <w:pPr>
        <w:rPr>
          <w:rFonts w:ascii="Arial" w:hAnsi="Arial" w:cs="Arial"/>
          <w:b/>
          <w:sz w:val="22"/>
          <w:szCs w:val="22"/>
        </w:rPr>
      </w:pPr>
    </w:p>
    <w:p w:rsidR="00EC404D" w:rsidRPr="00405963" w:rsidRDefault="00EC404D">
      <w:pPr>
        <w:rPr>
          <w:rFonts w:ascii="Arial" w:hAnsi="Arial" w:cs="Arial"/>
          <w:b/>
          <w:sz w:val="22"/>
          <w:szCs w:val="22"/>
        </w:rPr>
      </w:pPr>
      <w:r w:rsidRPr="00405963">
        <w:rPr>
          <w:rFonts w:ascii="Arial" w:hAnsi="Arial" w:cs="Arial"/>
          <w:b/>
          <w:sz w:val="22"/>
          <w:szCs w:val="22"/>
        </w:rPr>
        <w:lastRenderedPageBreak/>
        <w:t>New Zealand excluding Christchurch</w:t>
      </w:r>
    </w:p>
    <w:p w:rsidR="00E74C20" w:rsidRPr="00EC404D" w:rsidRDefault="00E74C20">
      <w:pPr>
        <w:rPr>
          <w:rFonts w:ascii="Arial" w:hAnsi="Arial" w:cs="Arial"/>
          <w:sz w:val="22"/>
          <w:szCs w:val="22"/>
        </w:rPr>
      </w:pPr>
      <w:r w:rsidRPr="00EC404D">
        <w:rPr>
          <w:rFonts w:ascii="Arial" w:hAnsi="Arial" w:cs="Arial"/>
          <w:sz w:val="22"/>
          <w:szCs w:val="22"/>
        </w:rPr>
        <w:t xml:space="preserve">Figure 2 shows permanent and long term leavers from anywhere in New Zealand except for Christchurch and surrounds over the same time periods.  </w:t>
      </w:r>
    </w:p>
    <w:p w:rsidR="00E74C20" w:rsidRPr="00EC404D" w:rsidRDefault="00E74C20">
      <w:pPr>
        <w:rPr>
          <w:rFonts w:ascii="Arial" w:hAnsi="Arial" w:cs="Arial"/>
          <w:sz w:val="22"/>
          <w:szCs w:val="22"/>
        </w:rPr>
      </w:pPr>
    </w:p>
    <w:p w:rsidR="00EC404D" w:rsidRPr="00405963" w:rsidRDefault="00EC404D">
      <w:pPr>
        <w:rPr>
          <w:rFonts w:ascii="Arial" w:hAnsi="Arial" w:cs="Arial"/>
          <w:b/>
          <w:sz w:val="20"/>
          <w:szCs w:val="20"/>
        </w:rPr>
      </w:pPr>
      <w:r w:rsidRPr="00405963">
        <w:rPr>
          <w:rFonts w:ascii="Arial" w:hAnsi="Arial" w:cs="Arial"/>
          <w:b/>
          <w:sz w:val="20"/>
          <w:szCs w:val="20"/>
        </w:rPr>
        <w:t xml:space="preserve">Figure 2: </w:t>
      </w:r>
      <w:r w:rsidR="00405963">
        <w:rPr>
          <w:rFonts w:ascii="Arial" w:hAnsi="Arial" w:cs="Arial"/>
          <w:b/>
          <w:sz w:val="20"/>
          <w:szCs w:val="20"/>
        </w:rPr>
        <w:t>N</w:t>
      </w:r>
      <w:r w:rsidRPr="00405963">
        <w:rPr>
          <w:rFonts w:ascii="Arial" w:hAnsi="Arial" w:cs="Arial"/>
          <w:b/>
          <w:sz w:val="20"/>
          <w:szCs w:val="20"/>
        </w:rPr>
        <w:t xml:space="preserve">umber of </w:t>
      </w:r>
      <w:r w:rsidR="00405963">
        <w:rPr>
          <w:rFonts w:ascii="Arial" w:hAnsi="Arial" w:cs="Arial"/>
          <w:b/>
          <w:sz w:val="20"/>
          <w:szCs w:val="20"/>
        </w:rPr>
        <w:t xml:space="preserve">monthly </w:t>
      </w:r>
      <w:r w:rsidRPr="00405963">
        <w:rPr>
          <w:rFonts w:ascii="Arial" w:hAnsi="Arial" w:cs="Arial"/>
          <w:b/>
          <w:sz w:val="20"/>
          <w:szCs w:val="20"/>
        </w:rPr>
        <w:t xml:space="preserve">permanent and long term leavers </w:t>
      </w:r>
      <w:r w:rsidR="006219FA" w:rsidRPr="00394618">
        <w:rPr>
          <w:rFonts w:ascii="Arial" w:hAnsi="Arial" w:cs="Arial"/>
          <w:b/>
          <w:sz w:val="20"/>
          <w:szCs w:val="20"/>
        </w:rPr>
        <w:t>aged 15-39</w:t>
      </w:r>
      <w:r w:rsidR="006219FA">
        <w:rPr>
          <w:rFonts w:ascii="Arial" w:hAnsi="Arial" w:cs="Arial"/>
          <w:b/>
          <w:sz w:val="20"/>
          <w:szCs w:val="20"/>
        </w:rPr>
        <w:t xml:space="preserve"> </w:t>
      </w:r>
      <w:r w:rsidRPr="00405963">
        <w:rPr>
          <w:rFonts w:ascii="Arial" w:hAnsi="Arial" w:cs="Arial"/>
          <w:b/>
          <w:sz w:val="20"/>
          <w:szCs w:val="20"/>
        </w:rPr>
        <w:t xml:space="preserve">from New Zealand excluding </w:t>
      </w:r>
      <w:r w:rsidR="00405963">
        <w:rPr>
          <w:rFonts w:ascii="Arial" w:hAnsi="Arial" w:cs="Arial"/>
          <w:b/>
          <w:sz w:val="20"/>
          <w:szCs w:val="20"/>
        </w:rPr>
        <w:t xml:space="preserve">greater </w:t>
      </w:r>
      <w:r w:rsidRPr="00405963">
        <w:rPr>
          <w:rFonts w:ascii="Arial" w:hAnsi="Arial" w:cs="Arial"/>
          <w:b/>
          <w:sz w:val="20"/>
          <w:szCs w:val="20"/>
        </w:rPr>
        <w:t>Christchurch, first half of 2009, 2010 and 2011</w:t>
      </w:r>
    </w:p>
    <w:p w:rsidR="00E74C20" w:rsidRPr="00EC404D" w:rsidRDefault="00E74C20">
      <w:pPr>
        <w:rPr>
          <w:rFonts w:ascii="Arial" w:hAnsi="Arial" w:cs="Arial"/>
          <w:sz w:val="22"/>
          <w:szCs w:val="22"/>
        </w:rPr>
      </w:pPr>
      <w:r w:rsidRPr="00EC404D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>
            <wp:extent cx="5274310" cy="3291701"/>
            <wp:effectExtent l="19050" t="0" r="21590" b="3949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C20" w:rsidRPr="00EC404D" w:rsidRDefault="00E74C20">
      <w:pPr>
        <w:rPr>
          <w:rFonts w:ascii="Arial" w:hAnsi="Arial" w:cs="Arial"/>
          <w:sz w:val="22"/>
          <w:szCs w:val="22"/>
        </w:rPr>
      </w:pPr>
    </w:p>
    <w:p w:rsidR="00405963" w:rsidRPr="00741F5D" w:rsidRDefault="00405963" w:rsidP="00405963">
      <w:pPr>
        <w:jc w:val="both"/>
        <w:rPr>
          <w:rFonts w:ascii="Arial" w:hAnsi="Arial" w:cs="Arial"/>
          <w:sz w:val="16"/>
          <w:szCs w:val="16"/>
        </w:rPr>
      </w:pPr>
      <w:r w:rsidRPr="00741F5D">
        <w:rPr>
          <w:rFonts w:ascii="Arial" w:hAnsi="Arial" w:cs="Arial"/>
          <w:sz w:val="16"/>
          <w:szCs w:val="16"/>
        </w:rPr>
        <w:t>Source: Statistics New Zealand</w:t>
      </w:r>
    </w:p>
    <w:p w:rsidR="00405963" w:rsidRDefault="00405963" w:rsidP="00405963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sz w:val="16"/>
          <w:szCs w:val="16"/>
        </w:rPr>
        <w:t xml:space="preserve">  </w:t>
      </w: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Districts.</w:t>
      </w:r>
    </w:p>
    <w:p w:rsidR="00EC404D" w:rsidRDefault="00EC404D">
      <w:pPr>
        <w:rPr>
          <w:rFonts w:ascii="Arial" w:hAnsi="Arial" w:cs="Arial"/>
          <w:sz w:val="22"/>
          <w:szCs w:val="22"/>
        </w:rPr>
      </w:pPr>
    </w:p>
    <w:p w:rsidR="00E74C20" w:rsidRDefault="00EC404D" w:rsidP="006219FA">
      <w:pPr>
        <w:jc w:val="both"/>
        <w:rPr>
          <w:rFonts w:ascii="Arial" w:hAnsi="Arial" w:cs="Arial"/>
          <w:sz w:val="22"/>
          <w:szCs w:val="22"/>
        </w:rPr>
      </w:pPr>
      <w:r w:rsidRPr="00EC404D">
        <w:rPr>
          <w:rFonts w:ascii="Arial" w:hAnsi="Arial" w:cs="Arial"/>
          <w:sz w:val="22"/>
          <w:szCs w:val="22"/>
        </w:rPr>
        <w:t xml:space="preserve">Figure 2 shows that permanent and long term departures </w:t>
      </w:r>
      <w:r w:rsidR="006219FA">
        <w:rPr>
          <w:rFonts w:ascii="Arial" w:hAnsi="Arial" w:cs="Arial"/>
          <w:sz w:val="22"/>
          <w:szCs w:val="22"/>
        </w:rPr>
        <w:t>we</w:t>
      </w:r>
      <w:r w:rsidRPr="00EC404D">
        <w:rPr>
          <w:rFonts w:ascii="Arial" w:hAnsi="Arial" w:cs="Arial"/>
          <w:sz w:val="22"/>
          <w:szCs w:val="22"/>
        </w:rPr>
        <w:t xml:space="preserve">re higher nationally in the first half of 2011 than they were in the first half of 2010 and 2009.  </w:t>
      </w:r>
      <w:r w:rsidR="006219FA">
        <w:rPr>
          <w:rFonts w:ascii="Arial" w:hAnsi="Arial" w:cs="Arial"/>
          <w:sz w:val="22"/>
          <w:szCs w:val="22"/>
        </w:rPr>
        <w:t>While there was</w:t>
      </w:r>
      <w:r w:rsidRPr="00EC404D">
        <w:rPr>
          <w:rFonts w:ascii="Arial" w:hAnsi="Arial" w:cs="Arial"/>
          <w:sz w:val="22"/>
          <w:szCs w:val="22"/>
        </w:rPr>
        <w:t xml:space="preserve"> a spike among 20-30 year olds from around the time of the earthquake in Christchurch in February 2011</w:t>
      </w:r>
      <w:r w:rsidR="006219FA">
        <w:rPr>
          <w:rFonts w:ascii="Arial" w:hAnsi="Arial" w:cs="Arial"/>
          <w:sz w:val="22"/>
          <w:szCs w:val="22"/>
        </w:rPr>
        <w:t>, there was also a spike around</w:t>
      </w:r>
      <w:r w:rsidR="00AD6E51">
        <w:rPr>
          <w:rFonts w:ascii="Arial" w:hAnsi="Arial" w:cs="Arial"/>
          <w:sz w:val="22"/>
          <w:szCs w:val="22"/>
        </w:rPr>
        <w:t xml:space="preserve"> the beginning of 2009 and 2010 as </w:t>
      </w:r>
      <w:proofErr w:type="gramStart"/>
      <w:r w:rsidR="00AD6E51">
        <w:rPr>
          <w:rFonts w:ascii="Arial" w:hAnsi="Arial" w:cs="Arial"/>
          <w:sz w:val="22"/>
          <w:szCs w:val="22"/>
        </w:rPr>
        <w:t>well,</w:t>
      </w:r>
      <w:proofErr w:type="gramEnd"/>
      <w:r w:rsidR="00AD6E51">
        <w:rPr>
          <w:rFonts w:ascii="Arial" w:hAnsi="Arial" w:cs="Arial"/>
          <w:sz w:val="22"/>
          <w:szCs w:val="22"/>
        </w:rPr>
        <w:t xml:space="preserve"> suggesting that the overall pattern for 2011 is not very different from that of the two previous years.</w:t>
      </w:r>
    </w:p>
    <w:p w:rsidR="0003711C" w:rsidRDefault="0003711C" w:rsidP="006219FA">
      <w:pPr>
        <w:jc w:val="both"/>
        <w:rPr>
          <w:rFonts w:ascii="Arial" w:hAnsi="Arial" w:cs="Arial"/>
          <w:sz w:val="22"/>
          <w:szCs w:val="22"/>
        </w:rPr>
      </w:pPr>
    </w:p>
    <w:p w:rsidR="0003711C" w:rsidRPr="0003711C" w:rsidRDefault="0003711C" w:rsidP="006219FA">
      <w:pPr>
        <w:jc w:val="both"/>
        <w:rPr>
          <w:rFonts w:ascii="Arial" w:hAnsi="Arial" w:cs="Arial"/>
          <w:b/>
          <w:sz w:val="22"/>
          <w:szCs w:val="22"/>
        </w:rPr>
      </w:pPr>
      <w:r w:rsidRPr="0003711C">
        <w:rPr>
          <w:rFonts w:ascii="Arial" w:hAnsi="Arial" w:cs="Arial"/>
          <w:b/>
          <w:sz w:val="22"/>
          <w:szCs w:val="22"/>
        </w:rPr>
        <w:t>An occupational analysis of migration</w:t>
      </w:r>
    </w:p>
    <w:p w:rsidR="0003711C" w:rsidRDefault="0003711C" w:rsidP="00621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E7BAC">
        <w:rPr>
          <w:rFonts w:ascii="Arial" w:hAnsi="Arial" w:cs="Arial"/>
          <w:sz w:val="22"/>
          <w:szCs w:val="22"/>
        </w:rPr>
        <w:t>graphs</w:t>
      </w:r>
      <w:r>
        <w:rPr>
          <w:rFonts w:ascii="Arial" w:hAnsi="Arial" w:cs="Arial"/>
          <w:sz w:val="22"/>
          <w:szCs w:val="22"/>
        </w:rPr>
        <w:t xml:space="preserve"> below set out the occupational distribution of emigrants</w:t>
      </w:r>
      <w:r w:rsidR="00AE7BAC">
        <w:rPr>
          <w:rFonts w:ascii="Arial" w:hAnsi="Arial" w:cs="Arial"/>
          <w:sz w:val="22"/>
          <w:szCs w:val="22"/>
        </w:rPr>
        <w:t xml:space="preserve">, in greater Christchurch and in </w:t>
      </w:r>
      <w:r w:rsidR="005D68BF">
        <w:rPr>
          <w:rFonts w:ascii="Arial" w:hAnsi="Arial" w:cs="Arial"/>
          <w:sz w:val="22"/>
          <w:szCs w:val="22"/>
        </w:rPr>
        <w:t xml:space="preserve">the rest of </w:t>
      </w:r>
      <w:r w:rsidR="00AE7BAC">
        <w:rPr>
          <w:rFonts w:ascii="Arial" w:hAnsi="Arial" w:cs="Arial"/>
          <w:sz w:val="22"/>
          <w:szCs w:val="22"/>
        </w:rPr>
        <w:t>New Zealand, for the months of March, April and May 2010 and 2011.</w:t>
      </w:r>
    </w:p>
    <w:p w:rsidR="0003711C" w:rsidRDefault="0003711C" w:rsidP="006219FA">
      <w:pPr>
        <w:jc w:val="both"/>
        <w:rPr>
          <w:rFonts w:ascii="Arial" w:hAnsi="Arial" w:cs="Arial"/>
          <w:sz w:val="22"/>
          <w:szCs w:val="22"/>
        </w:rPr>
      </w:pPr>
    </w:p>
    <w:p w:rsidR="00AE7BAC" w:rsidRDefault="00AE7BAC" w:rsidP="00621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2010 and 2011, there was a rise in departures in all occupational categories.  The rise occurred in the country as a whole, as well as in Christchurch.  But the extent of the rise in Christchurch was much greater – </w:t>
      </w:r>
      <w:r w:rsidR="005D68BF">
        <w:rPr>
          <w:rFonts w:ascii="Arial" w:hAnsi="Arial" w:cs="Arial"/>
          <w:sz w:val="22"/>
          <w:szCs w:val="22"/>
        </w:rPr>
        <w:t xml:space="preserve">an increase of </w:t>
      </w:r>
      <w:r>
        <w:rPr>
          <w:rFonts w:ascii="Arial" w:hAnsi="Arial" w:cs="Arial"/>
          <w:sz w:val="22"/>
          <w:szCs w:val="22"/>
        </w:rPr>
        <w:t xml:space="preserve">81% as opposed to </w:t>
      </w:r>
      <w:r w:rsidR="005D68BF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%</w:t>
      </w:r>
      <w:r w:rsidR="005D68BF">
        <w:rPr>
          <w:rFonts w:ascii="Arial" w:hAnsi="Arial" w:cs="Arial"/>
          <w:sz w:val="22"/>
          <w:szCs w:val="22"/>
        </w:rPr>
        <w:t xml:space="preserve"> for the rest of New Zealand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E7BAC" w:rsidRDefault="00AE7BAC" w:rsidP="006219FA">
      <w:pPr>
        <w:jc w:val="both"/>
        <w:rPr>
          <w:rFonts w:ascii="Arial" w:hAnsi="Arial" w:cs="Arial"/>
          <w:sz w:val="22"/>
          <w:szCs w:val="22"/>
        </w:rPr>
      </w:pPr>
    </w:p>
    <w:p w:rsidR="0003711C" w:rsidRDefault="00AE7BAC" w:rsidP="00621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largest group is the ‘not elsewhere included group’ which includes students, those without work, those not in the labour force etc.</w:t>
      </w:r>
    </w:p>
    <w:p w:rsidR="00AE7BAC" w:rsidRDefault="00AE7BAC" w:rsidP="006219FA">
      <w:pPr>
        <w:jc w:val="both"/>
        <w:rPr>
          <w:rFonts w:ascii="Arial" w:hAnsi="Arial" w:cs="Arial"/>
          <w:sz w:val="22"/>
          <w:szCs w:val="22"/>
        </w:rPr>
      </w:pPr>
    </w:p>
    <w:p w:rsidR="00AE7BAC" w:rsidRDefault="00AE7BAC" w:rsidP="00621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clearly a loss of skills from Christchurch to migration – with the departures of people in skilled occupations much higher (in percentage terms) in Christchurch than in the rest of the country.</w:t>
      </w:r>
    </w:p>
    <w:p w:rsidR="00AE7BAC" w:rsidRDefault="00AE7BAC">
      <w:pPr>
        <w:rPr>
          <w:rFonts w:ascii="Arial" w:hAnsi="Arial" w:cs="Arial"/>
          <w:sz w:val="22"/>
          <w:szCs w:val="22"/>
        </w:rPr>
      </w:pPr>
    </w:p>
    <w:p w:rsidR="00AE7BAC" w:rsidRDefault="00AE7BAC">
      <w:pPr>
        <w:rPr>
          <w:rFonts w:ascii="Arial" w:hAnsi="Arial" w:cs="Arial"/>
          <w:sz w:val="22"/>
          <w:szCs w:val="22"/>
        </w:rPr>
      </w:pPr>
    </w:p>
    <w:p w:rsidR="00AE7BAC" w:rsidRDefault="00AE7BAC">
      <w:pPr>
        <w:rPr>
          <w:rFonts w:ascii="Arial" w:hAnsi="Arial" w:cs="Arial"/>
          <w:b/>
          <w:sz w:val="20"/>
          <w:szCs w:val="20"/>
        </w:rPr>
      </w:pPr>
      <w:r w:rsidRPr="00405963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>
        <w:rPr>
          <w:rFonts w:ascii="Arial" w:hAnsi="Arial" w:cs="Arial"/>
          <w:b/>
          <w:sz w:val="20"/>
          <w:szCs w:val="20"/>
        </w:rPr>
        <w:t>3</w:t>
      </w:r>
      <w:r w:rsidRPr="0040596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</w:t>
      </w:r>
      <w:r w:rsidRPr="00405963">
        <w:rPr>
          <w:rFonts w:ascii="Arial" w:hAnsi="Arial" w:cs="Arial"/>
          <w:b/>
          <w:sz w:val="20"/>
          <w:szCs w:val="20"/>
        </w:rPr>
        <w:t xml:space="preserve">umber of permanent and long term leavers </w:t>
      </w:r>
      <w:r>
        <w:rPr>
          <w:rFonts w:ascii="Arial" w:hAnsi="Arial" w:cs="Arial"/>
          <w:b/>
          <w:sz w:val="20"/>
          <w:szCs w:val="20"/>
        </w:rPr>
        <w:t>March-May</w:t>
      </w:r>
      <w:r w:rsidRPr="00405963">
        <w:rPr>
          <w:rFonts w:ascii="Arial" w:hAnsi="Arial" w:cs="Arial"/>
          <w:b/>
          <w:sz w:val="20"/>
          <w:szCs w:val="20"/>
        </w:rPr>
        <w:t>, 2010 and 2011</w:t>
      </w:r>
    </w:p>
    <w:p w:rsidR="00AE7BAC" w:rsidRDefault="00AE7BA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Greater Christchurch </w:t>
      </w:r>
    </w:p>
    <w:p w:rsidR="00AE7BAC" w:rsidRDefault="00AE7BAC" w:rsidP="00AE7BAC">
      <w:pPr>
        <w:rPr>
          <w:rFonts w:ascii="Arial" w:hAnsi="Arial" w:cs="Arial"/>
          <w:sz w:val="22"/>
          <w:szCs w:val="22"/>
        </w:rPr>
      </w:pPr>
      <w:r w:rsidRPr="00AE7BAC">
        <w:rPr>
          <w:rFonts w:ascii="Arial" w:hAnsi="Arial" w:cs="Arial"/>
          <w:sz w:val="22"/>
          <w:szCs w:val="22"/>
        </w:rPr>
        <w:drawing>
          <wp:inline distT="0" distB="0" distL="0" distR="0">
            <wp:extent cx="4429125" cy="2933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7BAC" w:rsidRPr="00AE7BAC" w:rsidRDefault="00AE7BAC" w:rsidP="00AE7BAC">
      <w:pPr>
        <w:rPr>
          <w:rFonts w:ascii="Arial" w:hAnsi="Arial" w:cs="Arial"/>
          <w:b/>
          <w:sz w:val="20"/>
          <w:szCs w:val="20"/>
        </w:rPr>
      </w:pPr>
      <w:proofErr w:type="gramStart"/>
      <w:r w:rsidRPr="00AE7BAC">
        <w:rPr>
          <w:rFonts w:ascii="Arial" w:hAnsi="Arial" w:cs="Arial"/>
          <w:b/>
          <w:sz w:val="20"/>
          <w:szCs w:val="20"/>
        </w:rPr>
        <w:t>b</w:t>
      </w:r>
      <w:proofErr w:type="gramEnd"/>
      <w:r w:rsidRPr="00AE7BAC">
        <w:rPr>
          <w:rFonts w:ascii="Arial" w:hAnsi="Arial" w:cs="Arial"/>
          <w:b/>
          <w:sz w:val="20"/>
          <w:szCs w:val="20"/>
        </w:rPr>
        <w:tab/>
        <w:t xml:space="preserve">New Zealand </w:t>
      </w:r>
      <w:r w:rsidR="005D68BF">
        <w:rPr>
          <w:rFonts w:ascii="Arial" w:hAnsi="Arial" w:cs="Arial"/>
          <w:b/>
          <w:sz w:val="20"/>
          <w:szCs w:val="20"/>
        </w:rPr>
        <w:t>excluding Christchurch</w:t>
      </w:r>
    </w:p>
    <w:p w:rsidR="00AE7BAC" w:rsidRDefault="005D68BF" w:rsidP="006219FA">
      <w:pPr>
        <w:jc w:val="both"/>
        <w:rPr>
          <w:rFonts w:ascii="Arial" w:hAnsi="Arial" w:cs="Arial"/>
          <w:sz w:val="22"/>
          <w:szCs w:val="22"/>
        </w:rPr>
      </w:pPr>
      <w:r w:rsidRPr="005D68BF">
        <w:rPr>
          <w:rFonts w:ascii="Arial" w:hAnsi="Arial" w:cs="Arial"/>
          <w:sz w:val="22"/>
          <w:szCs w:val="22"/>
        </w:rPr>
        <w:drawing>
          <wp:inline distT="0" distB="0" distL="0" distR="0">
            <wp:extent cx="4572000" cy="2981325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8BF" w:rsidRPr="00741F5D" w:rsidRDefault="005D68BF" w:rsidP="005D68BF">
      <w:pPr>
        <w:jc w:val="both"/>
        <w:rPr>
          <w:rFonts w:ascii="Arial" w:hAnsi="Arial" w:cs="Arial"/>
          <w:sz w:val="16"/>
          <w:szCs w:val="16"/>
        </w:rPr>
      </w:pPr>
      <w:r w:rsidRPr="00741F5D">
        <w:rPr>
          <w:rFonts w:ascii="Arial" w:hAnsi="Arial" w:cs="Arial"/>
          <w:sz w:val="16"/>
          <w:szCs w:val="16"/>
        </w:rPr>
        <w:t>Source: Statistics New Zealand</w:t>
      </w:r>
    </w:p>
    <w:p w:rsidR="005D68BF" w:rsidRDefault="005D68BF" w:rsidP="005D68BF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sz w:val="16"/>
          <w:szCs w:val="16"/>
        </w:rPr>
        <w:t xml:space="preserve">  </w:t>
      </w: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</w:t>
      </w:r>
    </w:p>
    <w:p w:rsidR="005D68BF" w:rsidRDefault="005D68BF" w:rsidP="005D6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All numbers are subject to</w:t>
      </w:r>
      <w:r w:rsidRPr="00B359FA">
        <w:rPr>
          <w:rFonts w:ascii="Arial" w:hAnsi="Arial" w:cs="Arial"/>
          <w:sz w:val="16"/>
          <w:szCs w:val="16"/>
        </w:rPr>
        <w:t xml:space="preserve"> sampling errors</w:t>
      </w:r>
      <w:r>
        <w:rPr>
          <w:rFonts w:ascii="Arial" w:hAnsi="Arial" w:cs="Arial"/>
          <w:sz w:val="16"/>
          <w:szCs w:val="16"/>
        </w:rPr>
        <w:t>.  Sampling errors are larger for</w:t>
      </w:r>
      <w:r w:rsidRPr="00B359FA">
        <w:rPr>
          <w:rFonts w:ascii="Arial" w:hAnsi="Arial" w:cs="Arial"/>
          <w:sz w:val="16"/>
          <w:szCs w:val="16"/>
        </w:rPr>
        <w:t xml:space="preserve"> the </w:t>
      </w:r>
      <w:r>
        <w:rPr>
          <w:rFonts w:ascii="Arial" w:hAnsi="Arial" w:cs="Arial"/>
          <w:sz w:val="16"/>
          <w:szCs w:val="16"/>
        </w:rPr>
        <w:t>g</w:t>
      </w:r>
      <w:r w:rsidRPr="00B359FA">
        <w:rPr>
          <w:rFonts w:ascii="Arial" w:hAnsi="Arial" w:cs="Arial"/>
          <w:sz w:val="16"/>
          <w:szCs w:val="16"/>
        </w:rPr>
        <w:t>reater Christchurch data</w:t>
      </w:r>
    </w:p>
    <w:p w:rsidR="005D68BF" w:rsidRDefault="005D68BF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difference between Canterbury and the rest of New Zealand is even starker if we look at net migration (immigrant numbers minus emigration numbers).  See the trend in Figure 4 below.  Until the earthquakes, Canterbury had closely mirrored the trend in New Zealand.  While there has been some recovery, there remains a gap between this region and the rest of the country.</w:t>
      </w: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6219FA">
      <w:pPr>
        <w:jc w:val="both"/>
        <w:rPr>
          <w:rFonts w:ascii="Arial" w:hAnsi="Arial" w:cs="Arial"/>
          <w:sz w:val="22"/>
          <w:szCs w:val="22"/>
        </w:rPr>
      </w:pPr>
    </w:p>
    <w:p w:rsidR="0051591A" w:rsidRDefault="0051591A" w:rsidP="0051591A">
      <w:pPr>
        <w:rPr>
          <w:rFonts w:ascii="Arial" w:hAnsi="Arial" w:cs="Arial"/>
          <w:b/>
          <w:sz w:val="20"/>
          <w:szCs w:val="20"/>
        </w:rPr>
      </w:pPr>
      <w:r w:rsidRPr="00405963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4</w:t>
      </w:r>
      <w:r w:rsidRPr="0040596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Monthly net migration as a percentage of the population, greater Christchurch </w:t>
      </w:r>
      <w:proofErr w:type="spellStart"/>
      <w:r>
        <w:rPr>
          <w:rFonts w:ascii="Arial" w:hAnsi="Arial" w:cs="Arial"/>
          <w:b/>
          <w:sz w:val="20"/>
          <w:szCs w:val="20"/>
        </w:rPr>
        <w:t>vs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New Zealand, January 2010 – June 2011</w:t>
      </w:r>
    </w:p>
    <w:p w:rsidR="0051591A" w:rsidRDefault="0051591A" w:rsidP="006219FA">
      <w:pPr>
        <w:jc w:val="both"/>
        <w:rPr>
          <w:rFonts w:ascii="Arial" w:hAnsi="Arial" w:cs="Arial"/>
          <w:b/>
          <w:sz w:val="22"/>
          <w:szCs w:val="22"/>
        </w:rPr>
      </w:pPr>
    </w:p>
    <w:p w:rsidR="0051591A" w:rsidRDefault="0051591A" w:rsidP="005159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NZ" w:eastAsia="en-NZ"/>
        </w:rPr>
        <w:drawing>
          <wp:inline distT="0" distB="0" distL="0" distR="0">
            <wp:extent cx="5274310" cy="2926566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1A" w:rsidRPr="0051591A" w:rsidRDefault="0051591A" w:rsidP="006219FA">
      <w:pPr>
        <w:jc w:val="both"/>
        <w:rPr>
          <w:rFonts w:ascii="Arial" w:hAnsi="Arial" w:cs="Arial"/>
          <w:sz w:val="16"/>
          <w:szCs w:val="16"/>
        </w:rPr>
      </w:pPr>
      <w:r w:rsidRPr="0051591A">
        <w:rPr>
          <w:rFonts w:ascii="Arial" w:hAnsi="Arial" w:cs="Arial"/>
          <w:sz w:val="16"/>
          <w:szCs w:val="16"/>
        </w:rPr>
        <w:t>Source: Statistics New Zealand</w:t>
      </w:r>
    </w:p>
    <w:p w:rsidR="0051591A" w:rsidRDefault="0051591A" w:rsidP="006219FA">
      <w:pPr>
        <w:jc w:val="both"/>
        <w:rPr>
          <w:rFonts w:ascii="Arial" w:hAnsi="Arial" w:cs="Arial"/>
          <w:b/>
          <w:sz w:val="22"/>
          <w:szCs w:val="22"/>
        </w:rPr>
      </w:pPr>
    </w:p>
    <w:p w:rsidR="00AD6E51" w:rsidRPr="006219FA" w:rsidRDefault="00AD6E51" w:rsidP="006219FA">
      <w:pPr>
        <w:jc w:val="both"/>
        <w:rPr>
          <w:rFonts w:ascii="Arial" w:hAnsi="Arial" w:cs="Arial"/>
          <w:b/>
          <w:sz w:val="22"/>
          <w:szCs w:val="22"/>
        </w:rPr>
      </w:pPr>
      <w:r w:rsidRPr="006219FA">
        <w:rPr>
          <w:rFonts w:ascii="Arial" w:hAnsi="Arial" w:cs="Arial"/>
          <w:b/>
          <w:sz w:val="22"/>
          <w:szCs w:val="22"/>
        </w:rPr>
        <w:t>Conclusion</w:t>
      </w:r>
    </w:p>
    <w:p w:rsidR="006219FA" w:rsidRPr="005D68BF" w:rsidRDefault="006219FA" w:rsidP="005D68B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D68BF">
        <w:rPr>
          <w:rFonts w:ascii="Arial" w:hAnsi="Arial" w:cs="Arial"/>
          <w:sz w:val="22"/>
          <w:szCs w:val="22"/>
        </w:rPr>
        <w:t>T</w:t>
      </w:r>
      <w:r w:rsidR="00AD6E51" w:rsidRPr="005D68BF">
        <w:rPr>
          <w:rFonts w:ascii="Arial" w:hAnsi="Arial" w:cs="Arial"/>
          <w:sz w:val="22"/>
          <w:szCs w:val="22"/>
        </w:rPr>
        <w:t xml:space="preserve">he earthquake in late February </w:t>
      </w:r>
      <w:r w:rsidRPr="005D68BF">
        <w:rPr>
          <w:rFonts w:ascii="Arial" w:hAnsi="Arial" w:cs="Arial"/>
          <w:sz w:val="22"/>
          <w:szCs w:val="22"/>
        </w:rPr>
        <w:t xml:space="preserve">appears to have </w:t>
      </w:r>
      <w:r w:rsidR="00AD6E51" w:rsidRPr="005D68BF">
        <w:rPr>
          <w:rFonts w:ascii="Arial" w:hAnsi="Arial" w:cs="Arial"/>
          <w:sz w:val="22"/>
          <w:szCs w:val="22"/>
        </w:rPr>
        <w:t>had a strong short</w:t>
      </w:r>
      <w:r w:rsidRPr="005D68BF">
        <w:rPr>
          <w:rFonts w:ascii="Arial" w:hAnsi="Arial" w:cs="Arial"/>
          <w:sz w:val="22"/>
          <w:szCs w:val="22"/>
        </w:rPr>
        <w:t>-</w:t>
      </w:r>
      <w:r w:rsidR="00AD6E51" w:rsidRPr="005D68BF">
        <w:rPr>
          <w:rFonts w:ascii="Arial" w:hAnsi="Arial" w:cs="Arial"/>
          <w:sz w:val="22"/>
          <w:szCs w:val="22"/>
        </w:rPr>
        <w:t xml:space="preserve">term effect on migration patterns </w:t>
      </w:r>
      <w:r w:rsidR="00D522F9" w:rsidRPr="005D68BF">
        <w:rPr>
          <w:rFonts w:ascii="Arial" w:hAnsi="Arial" w:cs="Arial"/>
          <w:sz w:val="22"/>
          <w:szCs w:val="22"/>
        </w:rPr>
        <w:t xml:space="preserve">of </w:t>
      </w:r>
      <w:r w:rsidRPr="005D68BF">
        <w:rPr>
          <w:rFonts w:ascii="Arial" w:hAnsi="Arial" w:cs="Arial"/>
          <w:sz w:val="22"/>
          <w:szCs w:val="22"/>
        </w:rPr>
        <w:t>young</w:t>
      </w:r>
      <w:r w:rsidR="00D522F9" w:rsidRPr="005D68BF">
        <w:rPr>
          <w:rFonts w:ascii="Arial" w:hAnsi="Arial" w:cs="Arial"/>
          <w:sz w:val="22"/>
          <w:szCs w:val="22"/>
        </w:rPr>
        <w:t xml:space="preserve"> people </w:t>
      </w:r>
      <w:r w:rsidR="00AD6E51" w:rsidRPr="005D68BF">
        <w:rPr>
          <w:rFonts w:ascii="Arial" w:hAnsi="Arial" w:cs="Arial"/>
          <w:sz w:val="22"/>
          <w:szCs w:val="22"/>
        </w:rPr>
        <w:t>from Christchurch</w:t>
      </w:r>
      <w:r w:rsidRPr="005D68BF">
        <w:rPr>
          <w:rFonts w:ascii="Arial" w:hAnsi="Arial" w:cs="Arial"/>
          <w:sz w:val="22"/>
          <w:szCs w:val="22"/>
        </w:rPr>
        <w:t>.  However</w:t>
      </w:r>
      <w:r w:rsidR="00AD6E51" w:rsidRPr="005D68BF">
        <w:rPr>
          <w:rFonts w:ascii="Arial" w:hAnsi="Arial" w:cs="Arial"/>
          <w:sz w:val="22"/>
          <w:szCs w:val="22"/>
        </w:rPr>
        <w:t xml:space="preserve">, for the time being at least, this </w:t>
      </w:r>
      <w:r w:rsidRPr="005D68BF">
        <w:rPr>
          <w:rFonts w:ascii="Arial" w:hAnsi="Arial" w:cs="Arial"/>
          <w:sz w:val="22"/>
          <w:szCs w:val="22"/>
        </w:rPr>
        <w:t>looks to be</w:t>
      </w:r>
      <w:r w:rsidR="00AD6E51" w:rsidRPr="005D68BF">
        <w:rPr>
          <w:rFonts w:ascii="Arial" w:hAnsi="Arial" w:cs="Arial"/>
          <w:sz w:val="22"/>
          <w:szCs w:val="22"/>
        </w:rPr>
        <w:t xml:space="preserve"> relatively short lived.  </w:t>
      </w:r>
    </w:p>
    <w:p w:rsidR="005D68BF" w:rsidRDefault="005D68BF" w:rsidP="005D68BF">
      <w:pPr>
        <w:jc w:val="both"/>
        <w:rPr>
          <w:rFonts w:ascii="Arial" w:hAnsi="Arial" w:cs="Arial"/>
          <w:sz w:val="22"/>
          <w:szCs w:val="22"/>
        </w:rPr>
      </w:pPr>
    </w:p>
    <w:p w:rsidR="005D68BF" w:rsidRPr="005D68BF" w:rsidRDefault="005D68BF" w:rsidP="005D68B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D68BF">
        <w:rPr>
          <w:rFonts w:ascii="Arial" w:hAnsi="Arial" w:cs="Arial"/>
          <w:sz w:val="22"/>
          <w:szCs w:val="22"/>
        </w:rPr>
        <w:t>There has been a loss of skills to the region with increased departures of people in high-skill occupations.</w:t>
      </w:r>
    </w:p>
    <w:p w:rsidR="006219FA" w:rsidRDefault="006219FA" w:rsidP="005D68BF">
      <w:pPr>
        <w:jc w:val="both"/>
        <w:rPr>
          <w:rFonts w:ascii="Arial" w:hAnsi="Arial" w:cs="Arial"/>
          <w:sz w:val="22"/>
          <w:szCs w:val="22"/>
        </w:rPr>
      </w:pPr>
    </w:p>
    <w:p w:rsidR="006219FA" w:rsidRPr="005D68BF" w:rsidRDefault="006219FA" w:rsidP="005D68B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D68BF">
        <w:rPr>
          <w:rFonts w:ascii="Arial" w:hAnsi="Arial" w:cs="Arial"/>
          <w:sz w:val="22"/>
          <w:szCs w:val="22"/>
        </w:rPr>
        <w:t>However, we need to continue to monitor the trends as housing decisions may have a longer term effect on migration.</w:t>
      </w:r>
    </w:p>
    <w:sectPr w:rsidR="006219FA" w:rsidRPr="005D68BF" w:rsidSect="00822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44E84604"/>
    <w:multiLevelType w:val="hybridMultilevel"/>
    <w:tmpl w:val="8BACE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23C38"/>
    <w:rsid w:val="00027FC5"/>
    <w:rsid w:val="0003711C"/>
    <w:rsid w:val="00045FA4"/>
    <w:rsid w:val="0005657C"/>
    <w:rsid w:val="000B3D27"/>
    <w:rsid w:val="00100CC1"/>
    <w:rsid w:val="0016202D"/>
    <w:rsid w:val="002572D4"/>
    <w:rsid w:val="00394618"/>
    <w:rsid w:val="00405963"/>
    <w:rsid w:val="004E2148"/>
    <w:rsid w:val="0051591A"/>
    <w:rsid w:val="005D68BF"/>
    <w:rsid w:val="006219FA"/>
    <w:rsid w:val="00724E3D"/>
    <w:rsid w:val="00774ADB"/>
    <w:rsid w:val="00822B09"/>
    <w:rsid w:val="008D27A7"/>
    <w:rsid w:val="00923C38"/>
    <w:rsid w:val="00953E48"/>
    <w:rsid w:val="00AD6E51"/>
    <w:rsid w:val="00AE7BAC"/>
    <w:rsid w:val="00C678D2"/>
    <w:rsid w:val="00C94F2A"/>
    <w:rsid w:val="00CD3A76"/>
    <w:rsid w:val="00D453D2"/>
    <w:rsid w:val="00D522F9"/>
    <w:rsid w:val="00DF40C4"/>
    <w:rsid w:val="00E74C20"/>
    <w:rsid w:val="00EC1D27"/>
    <w:rsid w:val="00EC404D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822B09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822B09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822B09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822B09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2B09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822B09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822B09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822B09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822B09"/>
    <w:rPr>
      <w:sz w:val="16"/>
      <w:szCs w:val="16"/>
    </w:rPr>
  </w:style>
  <w:style w:type="character" w:styleId="FollowedHyperlink">
    <w:name w:val="FollowedHyperlink"/>
    <w:basedOn w:val="DefaultParagraphFont"/>
    <w:rsid w:val="00822B09"/>
    <w:rPr>
      <w:color w:val="800080"/>
      <w:u w:val="single"/>
    </w:rPr>
  </w:style>
  <w:style w:type="paragraph" w:styleId="Footer">
    <w:name w:val="footer"/>
    <w:basedOn w:val="Normal"/>
    <w:next w:val="Normal"/>
    <w:rsid w:val="00822B09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822B09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822B09"/>
    <w:rPr>
      <w:color w:val="0000FF"/>
      <w:u w:val="single"/>
    </w:rPr>
  </w:style>
  <w:style w:type="paragraph" w:styleId="ListBullet">
    <w:name w:val="List Bullet"/>
    <w:basedOn w:val="Normal"/>
    <w:autoRedefine/>
    <w:rsid w:val="00822B09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822B09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822B09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822B09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822B09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822B09"/>
    <w:pPr>
      <w:numPr>
        <w:numId w:val="6"/>
      </w:numPr>
    </w:pPr>
  </w:style>
  <w:style w:type="paragraph" w:customStyle="1" w:styleId="Space">
    <w:name w:val="Space"/>
    <w:basedOn w:val="Normal"/>
    <w:rsid w:val="00822B09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822B09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38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6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LABMARK\~Staff%20Folders\Phil%20Wise\JOB-01673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LABMARK\~Staff%20Folders\Phil%20Wise\JOB-01673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PLT%20Emigration%20Christchurch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PLT%20Emigration%20Christchurc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NZ"/>
  <c:chart>
    <c:plotArea>
      <c:layout/>
      <c:lineChart>
        <c:grouping val="standard"/>
        <c:ser>
          <c:idx val="0"/>
          <c:order val="0"/>
          <c:tx>
            <c:strRef>
              <c:f>Data!$B$290</c:f>
              <c:strCache>
                <c:ptCount val="1"/>
                <c:pt idx="0">
                  <c:v>15 - 19 Years</c:v>
                </c:pt>
              </c:strCache>
            </c:strRef>
          </c:tx>
          <c:marker>
            <c:symbol val="none"/>
          </c:marker>
          <c:cat>
            <c:numRef>
              <c:f>Data!$C$289:$V$289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Data!$C$290:$V$290</c:f>
              <c:numCache>
                <c:formatCode>General</c:formatCode>
                <c:ptCount val="20"/>
                <c:pt idx="0">
                  <c:v>113</c:v>
                </c:pt>
                <c:pt idx="1">
                  <c:v>39</c:v>
                </c:pt>
                <c:pt idx="2">
                  <c:v>34</c:v>
                </c:pt>
                <c:pt idx="3">
                  <c:v>25</c:v>
                </c:pt>
                <c:pt idx="4">
                  <c:v>28</c:v>
                </c:pt>
                <c:pt idx="5">
                  <c:v>28</c:v>
                </c:pt>
                <c:pt idx="7">
                  <c:v>76</c:v>
                </c:pt>
                <c:pt idx="8">
                  <c:v>58</c:v>
                </c:pt>
                <c:pt idx="9">
                  <c:v>41</c:v>
                </c:pt>
                <c:pt idx="10">
                  <c:v>31</c:v>
                </c:pt>
                <c:pt idx="11">
                  <c:v>29</c:v>
                </c:pt>
                <c:pt idx="12">
                  <c:v>27</c:v>
                </c:pt>
                <c:pt idx="14">
                  <c:v>86</c:v>
                </c:pt>
                <c:pt idx="15">
                  <c:v>66</c:v>
                </c:pt>
                <c:pt idx="16">
                  <c:v>131</c:v>
                </c:pt>
                <c:pt idx="17">
                  <c:v>67</c:v>
                </c:pt>
                <c:pt idx="18">
                  <c:v>42</c:v>
                </c:pt>
                <c:pt idx="19">
                  <c:v>41</c:v>
                </c:pt>
              </c:numCache>
            </c:numRef>
          </c:val>
        </c:ser>
        <c:ser>
          <c:idx val="1"/>
          <c:order val="1"/>
          <c:tx>
            <c:strRef>
              <c:f>Data!$B$291</c:f>
              <c:strCache>
                <c:ptCount val="1"/>
                <c:pt idx="0">
                  <c:v>20 - 24 Years</c:v>
                </c:pt>
              </c:strCache>
            </c:strRef>
          </c:tx>
          <c:marker>
            <c:symbol val="none"/>
          </c:marker>
          <c:cat>
            <c:numRef>
              <c:f>Data!$C$289:$V$289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Data!$C$291:$V$291</c:f>
              <c:numCache>
                <c:formatCode>General</c:formatCode>
                <c:ptCount val="20"/>
                <c:pt idx="0">
                  <c:v>157</c:v>
                </c:pt>
                <c:pt idx="1">
                  <c:v>146</c:v>
                </c:pt>
                <c:pt idx="2">
                  <c:v>151</c:v>
                </c:pt>
                <c:pt idx="3">
                  <c:v>118</c:v>
                </c:pt>
                <c:pt idx="4">
                  <c:v>93</c:v>
                </c:pt>
                <c:pt idx="5">
                  <c:v>95</c:v>
                </c:pt>
                <c:pt idx="7">
                  <c:v>125</c:v>
                </c:pt>
                <c:pt idx="8">
                  <c:v>115</c:v>
                </c:pt>
                <c:pt idx="9">
                  <c:v>138</c:v>
                </c:pt>
                <c:pt idx="10">
                  <c:v>121</c:v>
                </c:pt>
                <c:pt idx="11">
                  <c:v>130</c:v>
                </c:pt>
                <c:pt idx="12">
                  <c:v>117</c:v>
                </c:pt>
                <c:pt idx="14">
                  <c:v>121</c:v>
                </c:pt>
                <c:pt idx="15">
                  <c:v>100</c:v>
                </c:pt>
                <c:pt idx="16">
                  <c:v>258</c:v>
                </c:pt>
                <c:pt idx="17">
                  <c:v>163</c:v>
                </c:pt>
                <c:pt idx="18">
                  <c:v>181</c:v>
                </c:pt>
                <c:pt idx="19">
                  <c:v>127</c:v>
                </c:pt>
              </c:numCache>
            </c:numRef>
          </c:val>
        </c:ser>
        <c:ser>
          <c:idx val="2"/>
          <c:order val="2"/>
          <c:tx>
            <c:strRef>
              <c:f>Data!$B$292</c:f>
              <c:strCache>
                <c:ptCount val="1"/>
                <c:pt idx="0">
                  <c:v>25 - 29 Years</c:v>
                </c:pt>
              </c:strCache>
            </c:strRef>
          </c:tx>
          <c:marker>
            <c:symbol val="none"/>
          </c:marker>
          <c:cat>
            <c:numRef>
              <c:f>Data!$C$289:$V$289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Data!$C$292:$V$292</c:f>
              <c:numCache>
                <c:formatCode>General</c:formatCode>
                <c:ptCount val="20"/>
                <c:pt idx="0">
                  <c:v>138</c:v>
                </c:pt>
                <c:pt idx="1">
                  <c:v>135</c:v>
                </c:pt>
                <c:pt idx="2">
                  <c:v>142</c:v>
                </c:pt>
                <c:pt idx="3">
                  <c:v>109</c:v>
                </c:pt>
                <c:pt idx="4">
                  <c:v>111</c:v>
                </c:pt>
                <c:pt idx="5">
                  <c:v>116</c:v>
                </c:pt>
                <c:pt idx="7">
                  <c:v>111</c:v>
                </c:pt>
                <c:pt idx="8">
                  <c:v>124</c:v>
                </c:pt>
                <c:pt idx="9">
                  <c:v>130</c:v>
                </c:pt>
                <c:pt idx="10">
                  <c:v>135</c:v>
                </c:pt>
                <c:pt idx="11">
                  <c:v>122</c:v>
                </c:pt>
                <c:pt idx="12">
                  <c:v>126</c:v>
                </c:pt>
                <c:pt idx="14">
                  <c:v>116</c:v>
                </c:pt>
                <c:pt idx="15">
                  <c:v>104</c:v>
                </c:pt>
                <c:pt idx="16">
                  <c:v>206</c:v>
                </c:pt>
                <c:pt idx="17">
                  <c:v>160</c:v>
                </c:pt>
                <c:pt idx="18">
                  <c:v>175</c:v>
                </c:pt>
                <c:pt idx="19">
                  <c:v>144</c:v>
                </c:pt>
              </c:numCache>
            </c:numRef>
          </c:val>
        </c:ser>
        <c:ser>
          <c:idx val="3"/>
          <c:order val="3"/>
          <c:tx>
            <c:strRef>
              <c:f>Data!$B$293</c:f>
              <c:strCache>
                <c:ptCount val="1"/>
                <c:pt idx="0">
                  <c:v>30 - 34 Years</c:v>
                </c:pt>
              </c:strCache>
            </c:strRef>
          </c:tx>
          <c:marker>
            <c:symbol val="none"/>
          </c:marker>
          <c:cat>
            <c:numRef>
              <c:f>Data!$C$289:$V$289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Data!$C$293:$V$293</c:f>
              <c:numCache>
                <c:formatCode>General</c:formatCode>
                <c:ptCount val="20"/>
                <c:pt idx="0">
                  <c:v>65</c:v>
                </c:pt>
                <c:pt idx="1">
                  <c:v>47</c:v>
                </c:pt>
                <c:pt idx="2">
                  <c:v>76</c:v>
                </c:pt>
                <c:pt idx="3">
                  <c:v>57</c:v>
                </c:pt>
                <c:pt idx="4">
                  <c:v>56</c:v>
                </c:pt>
                <c:pt idx="5">
                  <c:v>34</c:v>
                </c:pt>
                <c:pt idx="7">
                  <c:v>42</c:v>
                </c:pt>
                <c:pt idx="8">
                  <c:v>55</c:v>
                </c:pt>
                <c:pt idx="9">
                  <c:v>69</c:v>
                </c:pt>
                <c:pt idx="10">
                  <c:v>54</c:v>
                </c:pt>
                <c:pt idx="11">
                  <c:v>63</c:v>
                </c:pt>
                <c:pt idx="12">
                  <c:v>52</c:v>
                </c:pt>
                <c:pt idx="14">
                  <c:v>76</c:v>
                </c:pt>
                <c:pt idx="15">
                  <c:v>57</c:v>
                </c:pt>
                <c:pt idx="16">
                  <c:v>112</c:v>
                </c:pt>
                <c:pt idx="17">
                  <c:v>84</c:v>
                </c:pt>
                <c:pt idx="18">
                  <c:v>90</c:v>
                </c:pt>
                <c:pt idx="19">
                  <c:v>85</c:v>
                </c:pt>
              </c:numCache>
            </c:numRef>
          </c:val>
        </c:ser>
        <c:ser>
          <c:idx val="4"/>
          <c:order val="4"/>
          <c:tx>
            <c:strRef>
              <c:f>Data!$B$294</c:f>
              <c:strCache>
                <c:ptCount val="1"/>
                <c:pt idx="0">
                  <c:v>35 - 39 Years</c:v>
                </c:pt>
              </c:strCache>
            </c:strRef>
          </c:tx>
          <c:marker>
            <c:symbol val="none"/>
          </c:marker>
          <c:cat>
            <c:numRef>
              <c:f>Data!$C$289:$V$289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Data!$C$294:$V$294</c:f>
              <c:numCache>
                <c:formatCode>General</c:formatCode>
                <c:ptCount val="20"/>
                <c:pt idx="0">
                  <c:v>74</c:v>
                </c:pt>
                <c:pt idx="1">
                  <c:v>35</c:v>
                </c:pt>
                <c:pt idx="2">
                  <c:v>28</c:v>
                </c:pt>
                <c:pt idx="3">
                  <c:v>37</c:v>
                </c:pt>
                <c:pt idx="4">
                  <c:v>33</c:v>
                </c:pt>
                <c:pt idx="5">
                  <c:v>31</c:v>
                </c:pt>
                <c:pt idx="7">
                  <c:v>47</c:v>
                </c:pt>
                <c:pt idx="8">
                  <c:v>26</c:v>
                </c:pt>
                <c:pt idx="9">
                  <c:v>45</c:v>
                </c:pt>
                <c:pt idx="10">
                  <c:v>45</c:v>
                </c:pt>
                <c:pt idx="11">
                  <c:v>44</c:v>
                </c:pt>
                <c:pt idx="12">
                  <c:v>34</c:v>
                </c:pt>
                <c:pt idx="14">
                  <c:v>57</c:v>
                </c:pt>
                <c:pt idx="15">
                  <c:v>34</c:v>
                </c:pt>
                <c:pt idx="16">
                  <c:v>85</c:v>
                </c:pt>
                <c:pt idx="17">
                  <c:v>80</c:v>
                </c:pt>
                <c:pt idx="18">
                  <c:v>60</c:v>
                </c:pt>
                <c:pt idx="19">
                  <c:v>49</c:v>
                </c:pt>
              </c:numCache>
            </c:numRef>
          </c:val>
        </c:ser>
        <c:marker val="1"/>
        <c:axId val="80251520"/>
        <c:axId val="81805696"/>
      </c:lineChart>
      <c:catAx>
        <c:axId val="80251520"/>
        <c:scaling>
          <c:orientation val="minMax"/>
        </c:scaling>
        <c:axPos val="b"/>
        <c:numFmt formatCode="mmm\-yy" sourceLinked="1"/>
        <c:tickLblPos val="nextTo"/>
        <c:crossAx val="81805696"/>
        <c:crosses val="autoZero"/>
        <c:lblAlgn val="ctr"/>
        <c:lblOffset val="100"/>
      </c:catAx>
      <c:valAx>
        <c:axId val="81805696"/>
        <c:scaling>
          <c:orientation val="minMax"/>
        </c:scaling>
        <c:axPos val="l"/>
        <c:majorGridlines/>
        <c:numFmt formatCode="General" sourceLinked="1"/>
        <c:tickLblPos val="nextTo"/>
        <c:crossAx val="802515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lineChart>
        <c:grouping val="standard"/>
        <c:ser>
          <c:idx val="0"/>
          <c:order val="0"/>
          <c:tx>
            <c:strRef>
              <c:f>Data!$B$344</c:f>
              <c:strCache>
                <c:ptCount val="1"/>
                <c:pt idx="0">
                  <c:v>15 - 19 Years</c:v>
                </c:pt>
              </c:strCache>
            </c:strRef>
          </c:tx>
          <c:marker>
            <c:symbol val="none"/>
          </c:marker>
          <c:cat>
            <c:numRef>
              <c:f>Data!$C$343:$V$343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Data!$C$344:$V$344</c:f>
              <c:numCache>
                <c:formatCode>#,##0</c:formatCode>
                <c:ptCount val="20"/>
                <c:pt idx="0">
                  <c:v>1017</c:v>
                </c:pt>
                <c:pt idx="1">
                  <c:v>622</c:v>
                </c:pt>
                <c:pt idx="2">
                  <c:v>423</c:v>
                </c:pt>
                <c:pt idx="3">
                  <c:v>346</c:v>
                </c:pt>
                <c:pt idx="4">
                  <c:v>350</c:v>
                </c:pt>
                <c:pt idx="5">
                  <c:v>329</c:v>
                </c:pt>
                <c:pt idx="7">
                  <c:v>760</c:v>
                </c:pt>
                <c:pt idx="8">
                  <c:v>558</c:v>
                </c:pt>
                <c:pt idx="9">
                  <c:v>423</c:v>
                </c:pt>
                <c:pt idx="10">
                  <c:v>306</c:v>
                </c:pt>
                <c:pt idx="11">
                  <c:v>324</c:v>
                </c:pt>
                <c:pt idx="12">
                  <c:v>346</c:v>
                </c:pt>
                <c:pt idx="14">
                  <c:v>943</c:v>
                </c:pt>
                <c:pt idx="15">
                  <c:v>699</c:v>
                </c:pt>
                <c:pt idx="16">
                  <c:v>508</c:v>
                </c:pt>
                <c:pt idx="17">
                  <c:v>396</c:v>
                </c:pt>
                <c:pt idx="18">
                  <c:v>424</c:v>
                </c:pt>
                <c:pt idx="19">
                  <c:v>416</c:v>
                </c:pt>
              </c:numCache>
            </c:numRef>
          </c:val>
        </c:ser>
        <c:ser>
          <c:idx val="1"/>
          <c:order val="1"/>
          <c:tx>
            <c:strRef>
              <c:f>Data!$B$345</c:f>
              <c:strCache>
                <c:ptCount val="1"/>
                <c:pt idx="0">
                  <c:v>20 - 24 Years</c:v>
                </c:pt>
              </c:strCache>
            </c:strRef>
          </c:tx>
          <c:marker>
            <c:symbol val="none"/>
          </c:marker>
          <c:cat>
            <c:numRef>
              <c:f>Data!$C$343:$V$343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Data!$C$345:$V$345</c:f>
              <c:numCache>
                <c:formatCode>#,##0</c:formatCode>
                <c:ptCount val="20"/>
                <c:pt idx="0">
                  <c:v>1147</c:v>
                </c:pt>
                <c:pt idx="1">
                  <c:v>1147</c:v>
                </c:pt>
                <c:pt idx="2">
                  <c:v>1109</c:v>
                </c:pt>
                <c:pt idx="3">
                  <c:v>942</c:v>
                </c:pt>
                <c:pt idx="4">
                  <c:v>844</c:v>
                </c:pt>
                <c:pt idx="5">
                  <c:v>803</c:v>
                </c:pt>
                <c:pt idx="7">
                  <c:v>969</c:v>
                </c:pt>
                <c:pt idx="8">
                  <c:v>1114</c:v>
                </c:pt>
                <c:pt idx="9">
                  <c:v>1114</c:v>
                </c:pt>
                <c:pt idx="10">
                  <c:v>906</c:v>
                </c:pt>
                <c:pt idx="11">
                  <c:v>1054</c:v>
                </c:pt>
                <c:pt idx="12">
                  <c:v>1037</c:v>
                </c:pt>
                <c:pt idx="14">
                  <c:v>1191</c:v>
                </c:pt>
                <c:pt idx="15">
                  <c:v>1313</c:v>
                </c:pt>
                <c:pt idx="16">
                  <c:v>1462</c:v>
                </c:pt>
                <c:pt idx="17">
                  <c:v>1098</c:v>
                </c:pt>
                <c:pt idx="18">
                  <c:v>1286</c:v>
                </c:pt>
                <c:pt idx="19">
                  <c:v>1236</c:v>
                </c:pt>
              </c:numCache>
            </c:numRef>
          </c:val>
        </c:ser>
        <c:ser>
          <c:idx val="2"/>
          <c:order val="2"/>
          <c:tx>
            <c:strRef>
              <c:f>Data!$B$346</c:f>
              <c:strCache>
                <c:ptCount val="1"/>
                <c:pt idx="0">
                  <c:v>25 - 29 Years</c:v>
                </c:pt>
              </c:strCache>
            </c:strRef>
          </c:tx>
          <c:marker>
            <c:symbol val="none"/>
          </c:marker>
          <c:cat>
            <c:numRef>
              <c:f>Data!$C$343:$V$343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Data!$C$346:$V$346</c:f>
              <c:numCache>
                <c:formatCode>#,##0</c:formatCode>
                <c:ptCount val="20"/>
                <c:pt idx="0">
                  <c:v>1008</c:v>
                </c:pt>
                <c:pt idx="1">
                  <c:v>975</c:v>
                </c:pt>
                <c:pt idx="2">
                  <c:v>1182</c:v>
                </c:pt>
                <c:pt idx="3">
                  <c:v>1020</c:v>
                </c:pt>
                <c:pt idx="4">
                  <c:v>909</c:v>
                </c:pt>
                <c:pt idx="5">
                  <c:v>899</c:v>
                </c:pt>
                <c:pt idx="7">
                  <c:v>868</c:v>
                </c:pt>
                <c:pt idx="8">
                  <c:v>968</c:v>
                </c:pt>
                <c:pt idx="9">
                  <c:v>1223</c:v>
                </c:pt>
                <c:pt idx="10">
                  <c:v>1197</c:v>
                </c:pt>
                <c:pt idx="11">
                  <c:v>1228</c:v>
                </c:pt>
                <c:pt idx="12">
                  <c:v>1076</c:v>
                </c:pt>
                <c:pt idx="14">
                  <c:v>1166</c:v>
                </c:pt>
                <c:pt idx="15">
                  <c:v>1057</c:v>
                </c:pt>
                <c:pt idx="16">
                  <c:v>1426</c:v>
                </c:pt>
                <c:pt idx="17">
                  <c:v>1307</c:v>
                </c:pt>
                <c:pt idx="18">
                  <c:v>1329</c:v>
                </c:pt>
                <c:pt idx="19">
                  <c:v>1073</c:v>
                </c:pt>
              </c:numCache>
            </c:numRef>
          </c:val>
        </c:ser>
        <c:ser>
          <c:idx val="3"/>
          <c:order val="3"/>
          <c:tx>
            <c:strRef>
              <c:f>Data!$B$347</c:f>
              <c:strCache>
                <c:ptCount val="1"/>
                <c:pt idx="0">
                  <c:v>30 - 34 Years</c:v>
                </c:pt>
              </c:strCache>
            </c:strRef>
          </c:tx>
          <c:marker>
            <c:symbol val="none"/>
          </c:marker>
          <c:cat>
            <c:numRef>
              <c:f>Data!$C$343:$V$343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Data!$C$347:$V$347</c:f>
              <c:numCache>
                <c:formatCode>#,##0</c:formatCode>
                <c:ptCount val="20"/>
                <c:pt idx="0">
                  <c:v>678</c:v>
                </c:pt>
                <c:pt idx="1">
                  <c:v>498</c:v>
                </c:pt>
                <c:pt idx="2">
                  <c:v>583</c:v>
                </c:pt>
                <c:pt idx="3">
                  <c:v>491</c:v>
                </c:pt>
                <c:pt idx="4">
                  <c:v>498</c:v>
                </c:pt>
                <c:pt idx="5">
                  <c:v>466</c:v>
                </c:pt>
                <c:pt idx="7">
                  <c:v>516</c:v>
                </c:pt>
                <c:pt idx="8">
                  <c:v>564</c:v>
                </c:pt>
                <c:pt idx="9">
                  <c:v>642</c:v>
                </c:pt>
                <c:pt idx="10">
                  <c:v>522</c:v>
                </c:pt>
                <c:pt idx="11">
                  <c:v>627</c:v>
                </c:pt>
                <c:pt idx="12">
                  <c:v>566</c:v>
                </c:pt>
                <c:pt idx="14">
                  <c:v>649</c:v>
                </c:pt>
                <c:pt idx="15">
                  <c:v>640</c:v>
                </c:pt>
                <c:pt idx="16">
                  <c:v>708</c:v>
                </c:pt>
                <c:pt idx="17">
                  <c:v>698</c:v>
                </c:pt>
                <c:pt idx="18">
                  <c:v>708</c:v>
                </c:pt>
                <c:pt idx="19">
                  <c:v>632</c:v>
                </c:pt>
              </c:numCache>
            </c:numRef>
          </c:val>
        </c:ser>
        <c:ser>
          <c:idx val="4"/>
          <c:order val="4"/>
          <c:tx>
            <c:strRef>
              <c:f>Data!$B$348</c:f>
              <c:strCache>
                <c:ptCount val="1"/>
                <c:pt idx="0">
                  <c:v>35 - 39 Years</c:v>
                </c:pt>
              </c:strCache>
            </c:strRef>
          </c:tx>
          <c:marker>
            <c:symbol val="none"/>
          </c:marker>
          <c:cat>
            <c:numRef>
              <c:f>Data!$C$343:$V$343</c:f>
              <c:numCache>
                <c:formatCode>mmm\-yy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7">
                  <c:v>40179</c:v>
                </c:pt>
                <c:pt idx="8">
                  <c:v>40210</c:v>
                </c:pt>
                <c:pt idx="9">
                  <c:v>40238</c:v>
                </c:pt>
                <c:pt idx="10">
                  <c:v>40269</c:v>
                </c:pt>
                <c:pt idx="11">
                  <c:v>40299</c:v>
                </c:pt>
                <c:pt idx="12">
                  <c:v>40330</c:v>
                </c:pt>
                <c:pt idx="14">
                  <c:v>40544</c:v>
                </c:pt>
                <c:pt idx="15">
                  <c:v>40575</c:v>
                </c:pt>
                <c:pt idx="16">
                  <c:v>40603</c:v>
                </c:pt>
                <c:pt idx="17">
                  <c:v>40634</c:v>
                </c:pt>
                <c:pt idx="18">
                  <c:v>40664</c:v>
                </c:pt>
                <c:pt idx="19">
                  <c:v>40695</c:v>
                </c:pt>
              </c:numCache>
            </c:numRef>
          </c:cat>
          <c:val>
            <c:numRef>
              <c:f>Data!$C$348:$V$348</c:f>
              <c:numCache>
                <c:formatCode>#,##0</c:formatCode>
                <c:ptCount val="20"/>
                <c:pt idx="0">
                  <c:v>587</c:v>
                </c:pt>
                <c:pt idx="1">
                  <c:v>382</c:v>
                </c:pt>
                <c:pt idx="2">
                  <c:v>384</c:v>
                </c:pt>
                <c:pt idx="3">
                  <c:v>352</c:v>
                </c:pt>
                <c:pt idx="4">
                  <c:v>316</c:v>
                </c:pt>
                <c:pt idx="5">
                  <c:v>352</c:v>
                </c:pt>
                <c:pt idx="7">
                  <c:v>440</c:v>
                </c:pt>
                <c:pt idx="8">
                  <c:v>352</c:v>
                </c:pt>
                <c:pt idx="9">
                  <c:v>418</c:v>
                </c:pt>
                <c:pt idx="10">
                  <c:v>421</c:v>
                </c:pt>
                <c:pt idx="11">
                  <c:v>430</c:v>
                </c:pt>
                <c:pt idx="12">
                  <c:v>380</c:v>
                </c:pt>
                <c:pt idx="14">
                  <c:v>573</c:v>
                </c:pt>
                <c:pt idx="15">
                  <c:v>371</c:v>
                </c:pt>
                <c:pt idx="16">
                  <c:v>450</c:v>
                </c:pt>
                <c:pt idx="17">
                  <c:v>450</c:v>
                </c:pt>
                <c:pt idx="18">
                  <c:v>443</c:v>
                </c:pt>
                <c:pt idx="19">
                  <c:v>453</c:v>
                </c:pt>
              </c:numCache>
            </c:numRef>
          </c:val>
        </c:ser>
        <c:marker val="1"/>
        <c:axId val="85047168"/>
        <c:axId val="86482944"/>
      </c:lineChart>
      <c:catAx>
        <c:axId val="85047168"/>
        <c:scaling>
          <c:orientation val="minMax"/>
        </c:scaling>
        <c:axPos val="b"/>
        <c:numFmt formatCode="mmm\-yy" sourceLinked="1"/>
        <c:tickLblPos val="nextTo"/>
        <c:crossAx val="86482944"/>
        <c:crosses val="autoZero"/>
        <c:lblAlgn val="ctr"/>
        <c:lblOffset val="100"/>
      </c:catAx>
      <c:valAx>
        <c:axId val="86482944"/>
        <c:scaling>
          <c:orientation val="minMax"/>
        </c:scaling>
        <c:axPos val="l"/>
        <c:majorGridlines/>
        <c:numFmt formatCode="#,##0" sourceLinked="1"/>
        <c:tickLblPos val="nextTo"/>
        <c:crossAx val="85047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barChart>
        <c:barDir val="bar"/>
        <c:grouping val="clustered"/>
        <c:ser>
          <c:idx val="0"/>
          <c:order val="0"/>
          <c:tx>
            <c:strRef>
              <c:f>Data!$N$9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Data!$M$10:$M$18</c:f>
              <c:strCache>
                <c:ptCount val="9"/>
                <c:pt idx="0">
                  <c:v>Managers</c:v>
                </c:pt>
                <c:pt idx="1">
                  <c:v>Professionals</c:v>
                </c:pt>
                <c:pt idx="2">
                  <c:v>Technicians and Trades Workers</c:v>
                </c:pt>
                <c:pt idx="3">
                  <c:v>Community and Personal Service Workers</c:v>
                </c:pt>
                <c:pt idx="4">
                  <c:v>Clerical and Administrative Workers</c:v>
                </c:pt>
                <c:pt idx="5">
                  <c:v>Sales Workers</c:v>
                </c:pt>
                <c:pt idx="6">
                  <c:v>Machinery Operators and Drivers</c:v>
                </c:pt>
                <c:pt idx="7">
                  <c:v>Labourers</c:v>
                </c:pt>
                <c:pt idx="8">
                  <c:v>Not Elsewhere Included</c:v>
                </c:pt>
              </c:strCache>
            </c:strRef>
          </c:cat>
          <c:val>
            <c:numRef>
              <c:f>Data!$N$10:$N$18</c:f>
              <c:numCache>
                <c:formatCode>_-* #,##0_-;\-* #,##0_-;_-* "-"??_-;_-@_-</c:formatCode>
                <c:ptCount val="9"/>
                <c:pt idx="0">
                  <c:v>94</c:v>
                </c:pt>
                <c:pt idx="1">
                  <c:v>291</c:v>
                </c:pt>
                <c:pt idx="2">
                  <c:v>168</c:v>
                </c:pt>
                <c:pt idx="3">
                  <c:v>140</c:v>
                </c:pt>
                <c:pt idx="4">
                  <c:v>64</c:v>
                </c:pt>
                <c:pt idx="5">
                  <c:v>95</c:v>
                </c:pt>
                <c:pt idx="6">
                  <c:v>47</c:v>
                </c:pt>
                <c:pt idx="7">
                  <c:v>37</c:v>
                </c:pt>
                <c:pt idx="8">
                  <c:v>777</c:v>
                </c:pt>
              </c:numCache>
            </c:numRef>
          </c:val>
        </c:ser>
        <c:ser>
          <c:idx val="1"/>
          <c:order val="1"/>
          <c:tx>
            <c:strRef>
              <c:f>Data!$O$9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Data!$M$10:$M$18</c:f>
              <c:strCache>
                <c:ptCount val="9"/>
                <c:pt idx="0">
                  <c:v>Managers</c:v>
                </c:pt>
                <c:pt idx="1">
                  <c:v>Professionals</c:v>
                </c:pt>
                <c:pt idx="2">
                  <c:v>Technicians and Trades Workers</c:v>
                </c:pt>
                <c:pt idx="3">
                  <c:v>Community and Personal Service Workers</c:v>
                </c:pt>
                <c:pt idx="4">
                  <c:v>Clerical and Administrative Workers</c:v>
                </c:pt>
                <c:pt idx="5">
                  <c:v>Sales Workers</c:v>
                </c:pt>
                <c:pt idx="6">
                  <c:v>Machinery Operators and Drivers</c:v>
                </c:pt>
                <c:pt idx="7">
                  <c:v>Labourers</c:v>
                </c:pt>
                <c:pt idx="8">
                  <c:v>Not Elsewhere Included</c:v>
                </c:pt>
              </c:strCache>
            </c:strRef>
          </c:cat>
          <c:val>
            <c:numRef>
              <c:f>Data!$O$10:$O$18</c:f>
              <c:numCache>
                <c:formatCode>_-* #,##0_-;\-* #,##0_-;_-* "-"??_-;_-@_-</c:formatCode>
                <c:ptCount val="9"/>
                <c:pt idx="0">
                  <c:v>131</c:v>
                </c:pt>
                <c:pt idx="1">
                  <c:v>446</c:v>
                </c:pt>
                <c:pt idx="2">
                  <c:v>285</c:v>
                </c:pt>
                <c:pt idx="3">
                  <c:v>234</c:v>
                </c:pt>
                <c:pt idx="4">
                  <c:v>125</c:v>
                </c:pt>
                <c:pt idx="5">
                  <c:v>152</c:v>
                </c:pt>
                <c:pt idx="6">
                  <c:v>79</c:v>
                </c:pt>
                <c:pt idx="7">
                  <c:v>93</c:v>
                </c:pt>
                <c:pt idx="8">
                  <c:v>1549</c:v>
                </c:pt>
              </c:numCache>
            </c:numRef>
          </c:val>
        </c:ser>
        <c:axId val="129522688"/>
        <c:axId val="130024192"/>
      </c:barChart>
      <c:catAx>
        <c:axId val="129522688"/>
        <c:scaling>
          <c:orientation val="minMax"/>
        </c:scaling>
        <c:axPos val="l"/>
        <c:tickLblPos val="nextTo"/>
        <c:crossAx val="130024192"/>
        <c:crosses val="autoZero"/>
        <c:auto val="1"/>
        <c:lblAlgn val="ctr"/>
        <c:lblOffset val="100"/>
      </c:catAx>
      <c:valAx>
        <c:axId val="130024192"/>
        <c:scaling>
          <c:orientation val="minMax"/>
        </c:scaling>
        <c:axPos val="b"/>
        <c:majorGridlines/>
        <c:numFmt formatCode="_-* #,##0_-;\-* #,##0_-;_-* &quot;-&quot;??_-;_-@_-" sourceLinked="1"/>
        <c:tickLblPos val="nextTo"/>
        <c:crossAx val="12952268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barChart>
        <c:barDir val="bar"/>
        <c:grouping val="clustered"/>
        <c:ser>
          <c:idx val="0"/>
          <c:order val="0"/>
          <c:tx>
            <c:strRef>
              <c:f>Data!$W$9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Data!$V$10:$V$18</c:f>
              <c:strCache>
                <c:ptCount val="9"/>
                <c:pt idx="0">
                  <c:v>Managers</c:v>
                </c:pt>
                <c:pt idx="1">
                  <c:v>Professionals</c:v>
                </c:pt>
                <c:pt idx="2">
                  <c:v>Technicians and Trades Workers</c:v>
                </c:pt>
                <c:pt idx="3">
                  <c:v>Community and Personal Service Workers</c:v>
                </c:pt>
                <c:pt idx="4">
                  <c:v>Clerical and Administrative Workers</c:v>
                </c:pt>
                <c:pt idx="5">
                  <c:v>Sales Workers</c:v>
                </c:pt>
                <c:pt idx="6">
                  <c:v>Machinery Operators and Drivers</c:v>
                </c:pt>
                <c:pt idx="7">
                  <c:v>Labourers</c:v>
                </c:pt>
                <c:pt idx="8">
                  <c:v>Not Elsewhere Included</c:v>
                </c:pt>
              </c:strCache>
            </c:strRef>
          </c:cat>
          <c:val>
            <c:numRef>
              <c:f>Data!$W$10:$W$18</c:f>
              <c:numCache>
                <c:formatCode>_-* #,##0_-;\-* #,##0_-;_-* "-"??_-;_-@_-</c:formatCode>
                <c:ptCount val="9"/>
                <c:pt idx="0">
                  <c:v>868</c:v>
                </c:pt>
                <c:pt idx="1">
                  <c:v>2803</c:v>
                </c:pt>
                <c:pt idx="2">
                  <c:v>1470</c:v>
                </c:pt>
                <c:pt idx="3">
                  <c:v>1087</c:v>
                </c:pt>
                <c:pt idx="4">
                  <c:v>647</c:v>
                </c:pt>
                <c:pt idx="5">
                  <c:v>670</c:v>
                </c:pt>
                <c:pt idx="6">
                  <c:v>350</c:v>
                </c:pt>
                <c:pt idx="7">
                  <c:v>521</c:v>
                </c:pt>
                <c:pt idx="8">
                  <c:v>8439</c:v>
                </c:pt>
              </c:numCache>
            </c:numRef>
          </c:val>
        </c:ser>
        <c:ser>
          <c:idx val="1"/>
          <c:order val="1"/>
          <c:tx>
            <c:strRef>
              <c:f>Data!$X$9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Data!$V$10:$V$18</c:f>
              <c:strCache>
                <c:ptCount val="9"/>
                <c:pt idx="0">
                  <c:v>Managers</c:v>
                </c:pt>
                <c:pt idx="1">
                  <c:v>Professionals</c:v>
                </c:pt>
                <c:pt idx="2">
                  <c:v>Technicians and Trades Workers</c:v>
                </c:pt>
                <c:pt idx="3">
                  <c:v>Community and Personal Service Workers</c:v>
                </c:pt>
                <c:pt idx="4">
                  <c:v>Clerical and Administrative Workers</c:v>
                </c:pt>
                <c:pt idx="5">
                  <c:v>Sales Workers</c:v>
                </c:pt>
                <c:pt idx="6">
                  <c:v>Machinery Operators and Drivers</c:v>
                </c:pt>
                <c:pt idx="7">
                  <c:v>Labourers</c:v>
                </c:pt>
                <c:pt idx="8">
                  <c:v>Not Elsewhere Included</c:v>
                </c:pt>
              </c:strCache>
            </c:strRef>
          </c:cat>
          <c:val>
            <c:numRef>
              <c:f>Data!$X$10:$X$18</c:f>
              <c:numCache>
                <c:formatCode>_-* #,##0_-;\-* #,##0_-;_-* "-"??_-;_-@_-</c:formatCode>
                <c:ptCount val="9"/>
                <c:pt idx="0">
                  <c:v>994</c:v>
                </c:pt>
                <c:pt idx="1">
                  <c:v>3014</c:v>
                </c:pt>
                <c:pt idx="2">
                  <c:v>1913</c:v>
                </c:pt>
                <c:pt idx="3">
                  <c:v>1215</c:v>
                </c:pt>
                <c:pt idx="4">
                  <c:v>703</c:v>
                </c:pt>
                <c:pt idx="5">
                  <c:v>805</c:v>
                </c:pt>
                <c:pt idx="6">
                  <c:v>454</c:v>
                </c:pt>
                <c:pt idx="7">
                  <c:v>653</c:v>
                </c:pt>
                <c:pt idx="8">
                  <c:v>10356</c:v>
                </c:pt>
              </c:numCache>
            </c:numRef>
          </c:val>
        </c:ser>
        <c:axId val="122792192"/>
        <c:axId val="123086336"/>
      </c:barChart>
      <c:catAx>
        <c:axId val="122792192"/>
        <c:scaling>
          <c:orientation val="minMax"/>
        </c:scaling>
        <c:axPos val="l"/>
        <c:tickLblPos val="nextTo"/>
        <c:crossAx val="123086336"/>
        <c:crosses val="autoZero"/>
        <c:auto val="1"/>
        <c:lblAlgn val="ctr"/>
        <c:lblOffset val="100"/>
      </c:catAx>
      <c:valAx>
        <c:axId val="123086336"/>
        <c:scaling>
          <c:orientation val="minMax"/>
        </c:scaling>
        <c:axPos val="b"/>
        <c:majorGridlines/>
        <c:numFmt formatCode="_-* #,##0_-;\-* #,##0_-;_-* &quot;-&quot;??_-;_-@_-" sourceLinked="1"/>
        <c:tickLblPos val="nextTo"/>
        <c:crossAx val="122792192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793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WisePh</dc:creator>
  <cp:keywords/>
  <dc:description/>
  <cp:lastModifiedBy>smythr</cp:lastModifiedBy>
  <cp:revision>6</cp:revision>
  <cp:lastPrinted>2011-08-08T03:25:00Z</cp:lastPrinted>
  <dcterms:created xsi:type="dcterms:W3CDTF">2011-08-10T22:00:00Z</dcterms:created>
  <dcterms:modified xsi:type="dcterms:W3CDTF">2011-08-11T01:26:00Z</dcterms:modified>
</cp:coreProperties>
</file>