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57" w:rsidRDefault="00244657" w:rsidP="00244657">
      <w:pPr>
        <w:pBdr>
          <w:bottom w:val="single" w:sz="4" w:space="1" w:color="auto"/>
        </w:pBdr>
        <w:rPr>
          <w:rFonts w:ascii="Arial" w:hAnsi="Arial" w:cs="Arial"/>
          <w:b/>
          <w:sz w:val="22"/>
          <w:szCs w:val="22"/>
        </w:rPr>
      </w:pPr>
      <w:r w:rsidRPr="00244657">
        <w:rPr>
          <w:rFonts w:ascii="Arial" w:hAnsi="Arial" w:cs="Arial"/>
          <w:b/>
          <w:sz w:val="22"/>
          <w:szCs w:val="22"/>
        </w:rPr>
        <w:t xml:space="preserve">The effects of the September 2010 earthquakes on NCEA </w:t>
      </w:r>
      <w:r>
        <w:rPr>
          <w:rFonts w:ascii="Arial" w:hAnsi="Arial" w:cs="Arial"/>
          <w:b/>
          <w:sz w:val="22"/>
          <w:szCs w:val="22"/>
        </w:rPr>
        <w:t>result</w:t>
      </w:r>
      <w:r w:rsidRPr="00244657">
        <w:rPr>
          <w:rFonts w:ascii="Arial" w:hAnsi="Arial" w:cs="Arial"/>
          <w:b/>
          <w:sz w:val="22"/>
          <w:szCs w:val="22"/>
        </w:rPr>
        <w:t>s – a statistical analysis</w:t>
      </w:r>
    </w:p>
    <w:p w:rsidR="00244657" w:rsidRPr="00244657" w:rsidRDefault="00244657" w:rsidP="00244657">
      <w:pPr>
        <w:jc w:val="both"/>
        <w:rPr>
          <w:rFonts w:ascii="Arial" w:hAnsi="Arial" w:cs="Arial"/>
          <w:sz w:val="22"/>
          <w:szCs w:val="22"/>
        </w:rPr>
      </w:pPr>
    </w:p>
    <w:p w:rsidR="00244657" w:rsidRPr="00244657" w:rsidRDefault="00244657" w:rsidP="00244657">
      <w:pPr>
        <w:jc w:val="both"/>
        <w:rPr>
          <w:rFonts w:ascii="Arial" w:hAnsi="Arial" w:cs="Arial"/>
          <w:b/>
          <w:sz w:val="22"/>
          <w:szCs w:val="22"/>
        </w:rPr>
      </w:pPr>
      <w:r w:rsidRPr="00244657">
        <w:rPr>
          <w:rFonts w:ascii="Arial" w:hAnsi="Arial" w:cs="Arial"/>
          <w:b/>
          <w:sz w:val="22"/>
          <w:szCs w:val="22"/>
        </w:rPr>
        <w:t>Purpose</w:t>
      </w:r>
    </w:p>
    <w:p w:rsidR="00244657" w:rsidRPr="00244657" w:rsidRDefault="00244657" w:rsidP="00244657">
      <w:pPr>
        <w:pStyle w:val="ListParagraph"/>
        <w:numPr>
          <w:ilvl w:val="0"/>
          <w:numId w:val="1"/>
        </w:numPr>
        <w:ind w:left="360"/>
        <w:jc w:val="both"/>
        <w:rPr>
          <w:rFonts w:ascii="Arial" w:hAnsi="Arial" w:cs="Arial"/>
          <w:sz w:val="22"/>
          <w:szCs w:val="22"/>
        </w:rPr>
      </w:pPr>
      <w:r w:rsidRPr="00244657">
        <w:rPr>
          <w:rFonts w:ascii="Arial" w:hAnsi="Arial" w:cs="Arial"/>
          <w:sz w:val="22"/>
          <w:szCs w:val="22"/>
        </w:rPr>
        <w:t xml:space="preserve">This note reports on the results of three statistical analyses of the 2010 NCEA results to see if there is evidence that the September 2010 earthquakes </w:t>
      </w:r>
      <w:r>
        <w:rPr>
          <w:rFonts w:ascii="Arial" w:hAnsi="Arial" w:cs="Arial"/>
          <w:sz w:val="22"/>
          <w:szCs w:val="22"/>
        </w:rPr>
        <w:t xml:space="preserve">and its aftershocks </w:t>
      </w:r>
      <w:r w:rsidRPr="00244657">
        <w:rPr>
          <w:rFonts w:ascii="Arial" w:hAnsi="Arial" w:cs="Arial"/>
          <w:sz w:val="22"/>
          <w:szCs w:val="22"/>
        </w:rPr>
        <w:t>affected the performance of students in Christchurch/Canterbury.</w:t>
      </w:r>
    </w:p>
    <w:p w:rsidR="00244657" w:rsidRDefault="00244657" w:rsidP="00244657">
      <w:pPr>
        <w:jc w:val="both"/>
        <w:rPr>
          <w:rFonts w:ascii="Arial" w:hAnsi="Arial" w:cs="Arial"/>
          <w:sz w:val="22"/>
          <w:szCs w:val="22"/>
        </w:rPr>
      </w:pPr>
    </w:p>
    <w:p w:rsidR="00244657" w:rsidRPr="00244657" w:rsidRDefault="00244657" w:rsidP="00244657">
      <w:pPr>
        <w:jc w:val="both"/>
        <w:rPr>
          <w:rFonts w:ascii="Arial" w:hAnsi="Arial" w:cs="Arial"/>
          <w:b/>
          <w:sz w:val="22"/>
          <w:szCs w:val="22"/>
        </w:rPr>
      </w:pPr>
      <w:r w:rsidRPr="00244657">
        <w:rPr>
          <w:rFonts w:ascii="Arial" w:hAnsi="Arial" w:cs="Arial"/>
          <w:b/>
          <w:sz w:val="22"/>
          <w:szCs w:val="22"/>
        </w:rPr>
        <w:t>Background</w:t>
      </w:r>
    </w:p>
    <w:p w:rsidR="00244657" w:rsidRPr="00244657" w:rsidRDefault="00244657" w:rsidP="00244657">
      <w:pPr>
        <w:pStyle w:val="ListParagraph"/>
        <w:numPr>
          <w:ilvl w:val="0"/>
          <w:numId w:val="1"/>
        </w:numPr>
        <w:ind w:left="360"/>
        <w:jc w:val="both"/>
        <w:rPr>
          <w:rFonts w:ascii="Arial" w:hAnsi="Arial" w:cs="Arial"/>
          <w:sz w:val="22"/>
          <w:szCs w:val="22"/>
        </w:rPr>
      </w:pPr>
      <w:r w:rsidRPr="00244657">
        <w:rPr>
          <w:rFonts w:ascii="Arial" w:hAnsi="Arial" w:cs="Arial"/>
          <w:sz w:val="22"/>
          <w:szCs w:val="22"/>
        </w:rPr>
        <w:t>Some secondary schools in Christchurch have expressed concerns about the effects of the September 2010 earthquakes on the performance of NCEA candidates.</w:t>
      </w:r>
    </w:p>
    <w:p w:rsidR="00244657" w:rsidRDefault="00244657" w:rsidP="00244657">
      <w:pPr>
        <w:jc w:val="both"/>
        <w:rPr>
          <w:rFonts w:ascii="Arial" w:hAnsi="Arial" w:cs="Arial"/>
          <w:sz w:val="22"/>
          <w:szCs w:val="22"/>
        </w:rPr>
      </w:pPr>
    </w:p>
    <w:p w:rsidR="00244657" w:rsidRDefault="00244657" w:rsidP="00244657">
      <w:pPr>
        <w:pStyle w:val="ListParagraph"/>
        <w:numPr>
          <w:ilvl w:val="0"/>
          <w:numId w:val="1"/>
        </w:numPr>
        <w:ind w:left="360"/>
        <w:jc w:val="both"/>
        <w:rPr>
          <w:rFonts w:ascii="Arial" w:hAnsi="Arial" w:cs="Arial"/>
          <w:sz w:val="22"/>
          <w:szCs w:val="22"/>
        </w:rPr>
      </w:pPr>
      <w:r w:rsidRPr="00244657">
        <w:rPr>
          <w:rFonts w:ascii="Arial" w:hAnsi="Arial" w:cs="Arial"/>
          <w:sz w:val="22"/>
          <w:szCs w:val="22"/>
        </w:rPr>
        <w:t>Given the changes in the Government’s management of tertiary education in 2008, entry into some tertiary education qualifications has become more competitive and this means that more not</w:t>
      </w:r>
      <w:r>
        <w:rPr>
          <w:rFonts w:ascii="Arial" w:hAnsi="Arial" w:cs="Arial"/>
          <w:sz w:val="22"/>
          <w:szCs w:val="22"/>
        </w:rPr>
        <w:t>ic</w:t>
      </w:r>
      <w:r w:rsidRPr="00244657">
        <w:rPr>
          <w:rFonts w:ascii="Arial" w:hAnsi="Arial" w:cs="Arial"/>
          <w:sz w:val="22"/>
          <w:szCs w:val="22"/>
        </w:rPr>
        <w:t>e is taken of NCEA results by tertiary education organisations when they make admission decisions.</w:t>
      </w:r>
    </w:p>
    <w:p w:rsidR="00244657" w:rsidRPr="00244657" w:rsidRDefault="00244657" w:rsidP="00244657">
      <w:pPr>
        <w:pStyle w:val="ListParagraph"/>
        <w:rPr>
          <w:rFonts w:ascii="Arial" w:hAnsi="Arial" w:cs="Arial"/>
          <w:sz w:val="22"/>
          <w:szCs w:val="22"/>
        </w:rPr>
      </w:pPr>
    </w:p>
    <w:p w:rsidR="00244657" w:rsidRDefault="00244657" w:rsidP="00244657">
      <w:pPr>
        <w:pStyle w:val="ListParagraph"/>
        <w:numPr>
          <w:ilvl w:val="0"/>
          <w:numId w:val="1"/>
        </w:numPr>
        <w:ind w:left="360"/>
        <w:jc w:val="both"/>
        <w:rPr>
          <w:rFonts w:ascii="Arial" w:hAnsi="Arial" w:cs="Arial"/>
          <w:sz w:val="22"/>
          <w:szCs w:val="22"/>
        </w:rPr>
      </w:pPr>
      <w:r>
        <w:rPr>
          <w:rFonts w:ascii="Arial" w:hAnsi="Arial" w:cs="Arial"/>
          <w:sz w:val="22"/>
          <w:szCs w:val="22"/>
        </w:rPr>
        <w:t>During 2010, NZQA agreed to a process to reduce any adverse effects of the earthquakes, through allowing a school to apply for a ‘derived result’ where they considered a student’s performance was below what might have been expected.</w:t>
      </w:r>
    </w:p>
    <w:p w:rsidR="00244657" w:rsidRPr="00244657" w:rsidRDefault="00244657" w:rsidP="00244657">
      <w:pPr>
        <w:pStyle w:val="ListParagraph"/>
        <w:rPr>
          <w:rFonts w:ascii="Arial" w:hAnsi="Arial" w:cs="Arial"/>
          <w:sz w:val="22"/>
          <w:szCs w:val="22"/>
        </w:rPr>
      </w:pPr>
    </w:p>
    <w:p w:rsidR="00244657" w:rsidRDefault="00A739C6" w:rsidP="00244657">
      <w:pPr>
        <w:pStyle w:val="ListParagraph"/>
        <w:numPr>
          <w:ilvl w:val="0"/>
          <w:numId w:val="1"/>
        </w:numPr>
        <w:ind w:left="360"/>
        <w:jc w:val="both"/>
        <w:rPr>
          <w:rFonts w:ascii="Arial" w:hAnsi="Arial" w:cs="Arial"/>
          <w:sz w:val="22"/>
          <w:szCs w:val="22"/>
        </w:rPr>
      </w:pPr>
      <w:r>
        <w:rPr>
          <w:rFonts w:ascii="Arial" w:hAnsi="Arial" w:cs="Arial"/>
          <w:sz w:val="22"/>
          <w:szCs w:val="22"/>
        </w:rPr>
        <w:t xml:space="preserve">The analyses </w:t>
      </w:r>
      <w:r w:rsidR="003E3DF5">
        <w:rPr>
          <w:rFonts w:ascii="Arial" w:hAnsi="Arial" w:cs="Arial"/>
          <w:sz w:val="22"/>
          <w:szCs w:val="22"/>
        </w:rPr>
        <w:t xml:space="preserve">summarised in this paper take different views of the data to </w:t>
      </w:r>
      <w:r w:rsidR="003E5207">
        <w:rPr>
          <w:rFonts w:ascii="Arial" w:hAnsi="Arial" w:cs="Arial"/>
          <w:sz w:val="22"/>
          <w:szCs w:val="22"/>
        </w:rPr>
        <w:t>explore the issue.  One of the analyses was done by NZQA and two by the Ministry of Education.</w:t>
      </w:r>
    </w:p>
    <w:p w:rsidR="003E5207" w:rsidRPr="003E5207" w:rsidRDefault="003E5207" w:rsidP="003E5207">
      <w:pPr>
        <w:pStyle w:val="ListParagraph"/>
        <w:rPr>
          <w:rFonts w:ascii="Arial" w:hAnsi="Arial" w:cs="Arial"/>
          <w:sz w:val="22"/>
          <w:szCs w:val="22"/>
        </w:rPr>
      </w:pPr>
    </w:p>
    <w:p w:rsidR="003E5207" w:rsidRPr="003E5207" w:rsidRDefault="003E5207" w:rsidP="003E5207">
      <w:pPr>
        <w:jc w:val="both"/>
        <w:rPr>
          <w:rFonts w:ascii="Arial" w:hAnsi="Arial" w:cs="Arial"/>
          <w:b/>
          <w:sz w:val="22"/>
          <w:szCs w:val="22"/>
        </w:rPr>
      </w:pPr>
      <w:r w:rsidRPr="003E5207">
        <w:rPr>
          <w:rFonts w:ascii="Arial" w:hAnsi="Arial" w:cs="Arial"/>
          <w:b/>
          <w:sz w:val="22"/>
          <w:szCs w:val="22"/>
        </w:rPr>
        <w:t>NZQA analysis of results in 2008, 2009 and 2010</w:t>
      </w:r>
    </w:p>
    <w:p w:rsidR="003E5207" w:rsidRDefault="003E5207" w:rsidP="00244657">
      <w:pPr>
        <w:pStyle w:val="ListParagraph"/>
        <w:numPr>
          <w:ilvl w:val="0"/>
          <w:numId w:val="1"/>
        </w:numPr>
        <w:ind w:left="360"/>
        <w:jc w:val="both"/>
        <w:rPr>
          <w:rFonts w:ascii="Arial" w:hAnsi="Arial" w:cs="Arial"/>
          <w:sz w:val="22"/>
          <w:szCs w:val="22"/>
        </w:rPr>
      </w:pPr>
      <w:r>
        <w:rPr>
          <w:rFonts w:ascii="Arial" w:hAnsi="Arial" w:cs="Arial"/>
          <w:sz w:val="22"/>
          <w:szCs w:val="22"/>
        </w:rPr>
        <w:t xml:space="preserve">NZQA looked at all schools in the three local authorities Christchurch, </w:t>
      </w:r>
      <w:proofErr w:type="spellStart"/>
      <w:r>
        <w:rPr>
          <w:rFonts w:ascii="Arial" w:hAnsi="Arial" w:cs="Arial"/>
          <w:sz w:val="22"/>
          <w:szCs w:val="22"/>
        </w:rPr>
        <w:t>Waimakariri</w:t>
      </w:r>
      <w:proofErr w:type="spellEnd"/>
      <w:r>
        <w:rPr>
          <w:rFonts w:ascii="Arial" w:hAnsi="Arial" w:cs="Arial"/>
          <w:sz w:val="22"/>
          <w:szCs w:val="22"/>
        </w:rPr>
        <w:t xml:space="preserve"> and Selwyn.  The analysis compared indicators of NCEA performance in the three local authorities at all NCEA levels in each of the years </w:t>
      </w:r>
      <w:r w:rsidR="00BD4F1F">
        <w:rPr>
          <w:rFonts w:ascii="Arial" w:hAnsi="Arial" w:cs="Arial"/>
          <w:sz w:val="22"/>
          <w:szCs w:val="22"/>
        </w:rPr>
        <w:t xml:space="preserve">2008-2010 </w:t>
      </w:r>
      <w:r>
        <w:rPr>
          <w:rFonts w:ascii="Arial" w:hAnsi="Arial" w:cs="Arial"/>
          <w:sz w:val="22"/>
          <w:szCs w:val="22"/>
        </w:rPr>
        <w:t>with national performance on the same indicators.</w:t>
      </w:r>
    </w:p>
    <w:p w:rsidR="003E5207" w:rsidRDefault="003E5207" w:rsidP="003E5207">
      <w:pPr>
        <w:pStyle w:val="ListParagraph"/>
        <w:ind w:left="360"/>
        <w:jc w:val="both"/>
        <w:rPr>
          <w:rFonts w:ascii="Arial" w:hAnsi="Arial" w:cs="Arial"/>
          <w:sz w:val="22"/>
          <w:szCs w:val="22"/>
        </w:rPr>
      </w:pPr>
    </w:p>
    <w:p w:rsidR="003E5207" w:rsidRDefault="003E5207" w:rsidP="00244657">
      <w:pPr>
        <w:pStyle w:val="ListParagraph"/>
        <w:numPr>
          <w:ilvl w:val="0"/>
          <w:numId w:val="1"/>
        </w:numPr>
        <w:ind w:left="360"/>
        <w:jc w:val="both"/>
        <w:rPr>
          <w:rFonts w:ascii="Arial" w:hAnsi="Arial" w:cs="Arial"/>
          <w:sz w:val="22"/>
          <w:szCs w:val="22"/>
        </w:rPr>
      </w:pPr>
      <w:r>
        <w:rPr>
          <w:rFonts w:ascii="Arial" w:hAnsi="Arial" w:cs="Arial"/>
          <w:sz w:val="22"/>
          <w:szCs w:val="22"/>
        </w:rPr>
        <w:t>The indicators were:</w:t>
      </w:r>
    </w:p>
    <w:p w:rsidR="003E5207" w:rsidRPr="003E5207" w:rsidRDefault="003E5207" w:rsidP="003E5207">
      <w:pPr>
        <w:pStyle w:val="ListParagraph"/>
        <w:rPr>
          <w:rFonts w:ascii="Arial" w:hAnsi="Arial" w:cs="Arial"/>
          <w:sz w:val="22"/>
          <w:szCs w:val="22"/>
        </w:rPr>
      </w:pPr>
    </w:p>
    <w:p w:rsidR="003E5207" w:rsidRDefault="003E5207" w:rsidP="003E5207">
      <w:pPr>
        <w:pStyle w:val="ListParagraph"/>
        <w:numPr>
          <w:ilvl w:val="0"/>
          <w:numId w:val="2"/>
        </w:numPr>
        <w:jc w:val="both"/>
        <w:rPr>
          <w:rFonts w:ascii="Arial" w:hAnsi="Arial" w:cs="Arial"/>
          <w:sz w:val="22"/>
          <w:szCs w:val="22"/>
        </w:rPr>
      </w:pPr>
      <w:r>
        <w:rPr>
          <w:rFonts w:ascii="Arial" w:hAnsi="Arial" w:cs="Arial"/>
          <w:sz w:val="22"/>
          <w:szCs w:val="22"/>
        </w:rPr>
        <w:t>the proportion of students attempting NCEA at each level in each year</w:t>
      </w:r>
    </w:p>
    <w:p w:rsidR="003E5207" w:rsidRDefault="003E5207" w:rsidP="003E5207">
      <w:pPr>
        <w:pStyle w:val="ListParagraph"/>
        <w:numPr>
          <w:ilvl w:val="0"/>
          <w:numId w:val="2"/>
        </w:numPr>
        <w:jc w:val="both"/>
        <w:rPr>
          <w:rFonts w:ascii="Arial" w:hAnsi="Arial" w:cs="Arial"/>
          <w:sz w:val="22"/>
          <w:szCs w:val="22"/>
        </w:rPr>
      </w:pPr>
      <w:r>
        <w:rPr>
          <w:rFonts w:ascii="Arial" w:hAnsi="Arial" w:cs="Arial"/>
          <w:sz w:val="22"/>
          <w:szCs w:val="22"/>
        </w:rPr>
        <w:t>the proportion of candidates gaining NCEA at each level</w:t>
      </w:r>
    </w:p>
    <w:p w:rsidR="003E5207" w:rsidRDefault="003E5207" w:rsidP="003E5207">
      <w:pPr>
        <w:pStyle w:val="ListParagraph"/>
        <w:numPr>
          <w:ilvl w:val="0"/>
          <w:numId w:val="2"/>
        </w:numPr>
        <w:jc w:val="both"/>
        <w:rPr>
          <w:rFonts w:ascii="Arial" w:hAnsi="Arial" w:cs="Arial"/>
          <w:sz w:val="22"/>
          <w:szCs w:val="22"/>
        </w:rPr>
      </w:pPr>
      <w:r>
        <w:rPr>
          <w:rFonts w:ascii="Arial" w:hAnsi="Arial" w:cs="Arial"/>
          <w:sz w:val="22"/>
          <w:szCs w:val="22"/>
        </w:rPr>
        <w:t>the proportion meeting the university entrance standard</w:t>
      </w:r>
    </w:p>
    <w:p w:rsidR="003E5207" w:rsidRDefault="003E5207" w:rsidP="003E5207">
      <w:pPr>
        <w:pStyle w:val="ListParagraph"/>
        <w:numPr>
          <w:ilvl w:val="0"/>
          <w:numId w:val="2"/>
        </w:numPr>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proportion of candidates at each level gaining excellence, merit and achieved grades at each of the levels.</w:t>
      </w:r>
    </w:p>
    <w:p w:rsidR="003E5207" w:rsidRPr="003E5207" w:rsidRDefault="003E5207" w:rsidP="003E5207">
      <w:pPr>
        <w:pStyle w:val="ListParagraph"/>
        <w:rPr>
          <w:rFonts w:ascii="Arial" w:hAnsi="Arial" w:cs="Arial"/>
          <w:sz w:val="22"/>
          <w:szCs w:val="22"/>
        </w:rPr>
      </w:pPr>
    </w:p>
    <w:p w:rsidR="003E5207" w:rsidRDefault="00737AD6" w:rsidP="00244657">
      <w:pPr>
        <w:pStyle w:val="ListParagraph"/>
        <w:numPr>
          <w:ilvl w:val="0"/>
          <w:numId w:val="1"/>
        </w:numPr>
        <w:ind w:left="360"/>
        <w:jc w:val="both"/>
        <w:rPr>
          <w:rFonts w:ascii="Arial" w:hAnsi="Arial" w:cs="Arial"/>
          <w:sz w:val="22"/>
          <w:szCs w:val="22"/>
        </w:rPr>
      </w:pPr>
      <w:r>
        <w:rPr>
          <w:rFonts w:ascii="Arial" w:hAnsi="Arial" w:cs="Arial"/>
          <w:sz w:val="22"/>
          <w:szCs w:val="22"/>
        </w:rPr>
        <w:t>On each of the measures, the relationship between Canterbury schools and New Zealand schools was roughly the same in 2010 as it had been in 2008 and 2009, suggesting that there was no measurable disadvantage as a consequence of the earthquakes.  Key findings were:</w:t>
      </w:r>
    </w:p>
    <w:p w:rsidR="00737AD6" w:rsidRDefault="00737AD6" w:rsidP="00737AD6">
      <w:pPr>
        <w:jc w:val="both"/>
        <w:rPr>
          <w:rFonts w:ascii="Arial" w:hAnsi="Arial" w:cs="Arial"/>
          <w:sz w:val="22"/>
          <w:szCs w:val="22"/>
        </w:rPr>
      </w:pPr>
    </w:p>
    <w:p w:rsidR="0088723C" w:rsidRDefault="0088723C" w:rsidP="0088723C">
      <w:pPr>
        <w:numPr>
          <w:ilvl w:val="0"/>
          <w:numId w:val="3"/>
        </w:numPr>
        <w:jc w:val="both"/>
        <w:rPr>
          <w:rFonts w:ascii="Arial" w:hAnsi="Arial" w:cs="Arial"/>
          <w:sz w:val="22"/>
          <w:szCs w:val="22"/>
          <w:lang w:val="en-NZ"/>
        </w:rPr>
      </w:pPr>
      <w:r>
        <w:rPr>
          <w:rFonts w:ascii="Arial" w:hAnsi="Arial" w:cs="Arial"/>
          <w:sz w:val="22"/>
          <w:szCs w:val="22"/>
          <w:lang w:val="en-NZ"/>
        </w:rPr>
        <w:t>pass rates in standards at all NCEA levels for Canterbury schools were higher in 2010 than in the previous two years</w:t>
      </w:r>
    </w:p>
    <w:p w:rsidR="0088723C" w:rsidRDefault="0088723C" w:rsidP="0088723C">
      <w:pPr>
        <w:numPr>
          <w:ilvl w:val="0"/>
          <w:numId w:val="3"/>
        </w:numPr>
        <w:jc w:val="both"/>
        <w:rPr>
          <w:rFonts w:ascii="Arial" w:hAnsi="Arial" w:cs="Arial"/>
          <w:sz w:val="22"/>
          <w:szCs w:val="22"/>
          <w:lang w:val="en-NZ"/>
        </w:rPr>
      </w:pPr>
      <w:r>
        <w:rPr>
          <w:rFonts w:ascii="Arial" w:hAnsi="Arial" w:cs="Arial"/>
          <w:sz w:val="22"/>
          <w:szCs w:val="22"/>
          <w:lang w:val="en-NZ"/>
        </w:rPr>
        <w:t>the percentage of excellence results in achievement standards at all levels for Canterbury schools was higher in 2010 than in the previous two years</w:t>
      </w:r>
    </w:p>
    <w:p w:rsidR="0088723C" w:rsidRDefault="0088723C" w:rsidP="0088723C">
      <w:pPr>
        <w:numPr>
          <w:ilvl w:val="0"/>
          <w:numId w:val="3"/>
        </w:numPr>
        <w:jc w:val="both"/>
        <w:rPr>
          <w:rFonts w:ascii="Arial" w:hAnsi="Arial" w:cs="Arial"/>
          <w:sz w:val="22"/>
          <w:szCs w:val="22"/>
          <w:lang w:val="en-NZ"/>
        </w:rPr>
      </w:pPr>
      <w:r>
        <w:rPr>
          <w:rFonts w:ascii="Arial" w:hAnsi="Arial" w:cs="Arial"/>
          <w:sz w:val="22"/>
          <w:szCs w:val="22"/>
          <w:lang w:val="en-NZ"/>
        </w:rPr>
        <w:t xml:space="preserve">rates of </w:t>
      </w:r>
      <w:r w:rsidR="004D7CD7">
        <w:rPr>
          <w:rFonts w:ascii="Arial" w:hAnsi="Arial" w:cs="Arial"/>
          <w:sz w:val="22"/>
          <w:szCs w:val="22"/>
          <w:lang w:val="en-NZ"/>
        </w:rPr>
        <w:t xml:space="preserve">qualification </w:t>
      </w:r>
      <w:r>
        <w:rPr>
          <w:rFonts w:ascii="Arial" w:hAnsi="Arial" w:cs="Arial"/>
          <w:sz w:val="22"/>
          <w:szCs w:val="22"/>
          <w:lang w:val="en-NZ"/>
        </w:rPr>
        <w:t xml:space="preserve">attainment </w:t>
      </w:r>
      <w:r w:rsidR="004D7CD7">
        <w:rPr>
          <w:rFonts w:ascii="Arial" w:hAnsi="Arial" w:cs="Arial"/>
          <w:sz w:val="22"/>
          <w:szCs w:val="22"/>
          <w:lang w:val="en-NZ"/>
        </w:rPr>
        <w:t>in</w:t>
      </w:r>
      <w:r>
        <w:rPr>
          <w:rFonts w:ascii="Arial" w:hAnsi="Arial" w:cs="Arial"/>
          <w:sz w:val="22"/>
          <w:szCs w:val="22"/>
          <w:lang w:val="en-NZ"/>
        </w:rPr>
        <w:t xml:space="preserve"> NCEA in 2010 of Canterbury schools were higher than attainment rates in the previous years</w:t>
      </w:r>
    </w:p>
    <w:p w:rsidR="0088723C" w:rsidRDefault="004D7CD7" w:rsidP="0088723C">
      <w:pPr>
        <w:numPr>
          <w:ilvl w:val="0"/>
          <w:numId w:val="3"/>
        </w:numPr>
        <w:jc w:val="both"/>
        <w:rPr>
          <w:rFonts w:ascii="Arial" w:hAnsi="Arial" w:cs="Arial"/>
          <w:sz w:val="22"/>
          <w:szCs w:val="22"/>
          <w:lang w:val="en-NZ"/>
        </w:rPr>
      </w:pPr>
      <w:proofErr w:type="gramStart"/>
      <w:r>
        <w:rPr>
          <w:rFonts w:ascii="Arial" w:hAnsi="Arial" w:cs="Arial"/>
          <w:sz w:val="22"/>
          <w:szCs w:val="22"/>
          <w:lang w:val="en-NZ"/>
        </w:rPr>
        <w:t>the</w:t>
      </w:r>
      <w:proofErr w:type="gramEnd"/>
      <w:r>
        <w:rPr>
          <w:rFonts w:ascii="Arial" w:hAnsi="Arial" w:cs="Arial"/>
          <w:sz w:val="22"/>
          <w:szCs w:val="22"/>
          <w:lang w:val="en-NZ"/>
        </w:rPr>
        <w:t xml:space="preserve"> difference between Canterbury schools and other schools in pass rates and NCEA qualifications attainment rates was roughly the same in 2010 as in 2008 and 2009</w:t>
      </w:r>
      <w:r w:rsidR="0088723C">
        <w:rPr>
          <w:rFonts w:ascii="Arial" w:hAnsi="Arial" w:cs="Arial"/>
          <w:sz w:val="22"/>
          <w:szCs w:val="22"/>
          <w:lang w:val="en-NZ"/>
        </w:rPr>
        <w:t>.</w:t>
      </w:r>
    </w:p>
    <w:p w:rsidR="0088723C" w:rsidRDefault="0088723C" w:rsidP="0088723C">
      <w:pPr>
        <w:rPr>
          <w:rFonts w:ascii="Arial" w:hAnsi="Arial" w:cs="Arial"/>
          <w:sz w:val="22"/>
          <w:szCs w:val="22"/>
          <w:lang w:val="en-NZ"/>
        </w:rPr>
      </w:pPr>
    </w:p>
    <w:p w:rsidR="00737AD6" w:rsidRDefault="00737AD6" w:rsidP="00244657">
      <w:pPr>
        <w:pStyle w:val="ListParagraph"/>
        <w:numPr>
          <w:ilvl w:val="0"/>
          <w:numId w:val="1"/>
        </w:numPr>
        <w:ind w:left="360"/>
        <w:jc w:val="both"/>
        <w:rPr>
          <w:rFonts w:ascii="Arial" w:hAnsi="Arial" w:cs="Arial"/>
          <w:sz w:val="22"/>
          <w:szCs w:val="22"/>
        </w:rPr>
      </w:pPr>
      <w:r>
        <w:rPr>
          <w:rFonts w:ascii="Arial" w:hAnsi="Arial" w:cs="Arial"/>
          <w:sz w:val="22"/>
          <w:szCs w:val="22"/>
        </w:rPr>
        <w:t xml:space="preserve">The full data is in Appendix 1.  </w:t>
      </w:r>
    </w:p>
    <w:p w:rsidR="00737AD6" w:rsidRDefault="00737AD6" w:rsidP="00737AD6">
      <w:pPr>
        <w:pStyle w:val="ListParagraph"/>
        <w:rPr>
          <w:rFonts w:ascii="Arial" w:hAnsi="Arial" w:cs="Arial"/>
          <w:sz w:val="22"/>
          <w:szCs w:val="22"/>
        </w:rPr>
      </w:pPr>
    </w:p>
    <w:p w:rsidR="004D7CD7" w:rsidRPr="004D7CD7" w:rsidRDefault="004D7CD7" w:rsidP="004D7CD7">
      <w:pPr>
        <w:pStyle w:val="ListParagraph"/>
        <w:ind w:left="0"/>
        <w:rPr>
          <w:rFonts w:ascii="Arial" w:hAnsi="Arial" w:cs="Arial"/>
          <w:b/>
          <w:sz w:val="22"/>
          <w:szCs w:val="22"/>
        </w:rPr>
      </w:pPr>
      <w:r w:rsidRPr="004D7CD7">
        <w:rPr>
          <w:rFonts w:ascii="Arial" w:hAnsi="Arial" w:cs="Arial"/>
          <w:b/>
          <w:sz w:val="22"/>
          <w:szCs w:val="22"/>
        </w:rPr>
        <w:t>Ministry of Education statistical analysis</w:t>
      </w:r>
    </w:p>
    <w:p w:rsidR="00737AD6" w:rsidRDefault="004D7CD7" w:rsidP="00244657">
      <w:pPr>
        <w:pStyle w:val="ListParagraph"/>
        <w:numPr>
          <w:ilvl w:val="0"/>
          <w:numId w:val="1"/>
        </w:numPr>
        <w:ind w:left="360"/>
        <w:jc w:val="both"/>
        <w:rPr>
          <w:rFonts w:ascii="Arial" w:hAnsi="Arial" w:cs="Arial"/>
          <w:sz w:val="22"/>
          <w:szCs w:val="22"/>
        </w:rPr>
      </w:pPr>
      <w:r>
        <w:rPr>
          <w:rFonts w:ascii="Arial" w:hAnsi="Arial" w:cs="Arial"/>
          <w:sz w:val="22"/>
          <w:szCs w:val="22"/>
        </w:rPr>
        <w:t>The Ministry looked at the achievement scores in NCEA over three years for two cohorts of students.  The NCEA achievement score – sometimes called the ‘expected percentile’ –</w:t>
      </w:r>
      <w:r w:rsidR="00AA14A5">
        <w:rPr>
          <w:rFonts w:ascii="Arial" w:hAnsi="Arial" w:cs="Arial"/>
          <w:sz w:val="22"/>
          <w:szCs w:val="22"/>
        </w:rPr>
        <w:t xml:space="preserve"> maps each student’s NCEA results in each year to a number between 0 and 100 that reflects both the level of performance (excellence, merit, achieved) and also the relative difficulty of the achievement standards in which those grades were obtained</w:t>
      </w:r>
      <w:r w:rsidR="00AA14A5">
        <w:rPr>
          <w:rStyle w:val="FootnoteReference"/>
          <w:rFonts w:ascii="Arial" w:hAnsi="Arial" w:cs="Arial"/>
          <w:sz w:val="22"/>
          <w:szCs w:val="22"/>
        </w:rPr>
        <w:footnoteReference w:id="1"/>
      </w:r>
      <w:r w:rsidR="00AA14A5">
        <w:rPr>
          <w:rFonts w:ascii="Arial" w:hAnsi="Arial" w:cs="Arial"/>
          <w:sz w:val="22"/>
          <w:szCs w:val="22"/>
        </w:rPr>
        <w:t xml:space="preserve">.  The NCEA achievement score is </w:t>
      </w:r>
      <w:r w:rsidR="00B80797">
        <w:rPr>
          <w:rFonts w:ascii="Arial" w:hAnsi="Arial" w:cs="Arial"/>
          <w:sz w:val="22"/>
          <w:szCs w:val="22"/>
        </w:rPr>
        <w:t xml:space="preserve">the </w:t>
      </w:r>
      <w:r w:rsidR="00F40BAA">
        <w:rPr>
          <w:rFonts w:ascii="Arial" w:hAnsi="Arial" w:cs="Arial"/>
          <w:sz w:val="22"/>
          <w:szCs w:val="22"/>
        </w:rPr>
        <w:t>best overall summary of the level of a student’s achievement; it is the best predictor of transitions to tertiary education and of success in tertiary education</w:t>
      </w:r>
      <w:r w:rsidR="00F40BAA">
        <w:rPr>
          <w:rStyle w:val="FootnoteReference"/>
          <w:rFonts w:ascii="Arial" w:hAnsi="Arial" w:cs="Arial"/>
          <w:sz w:val="22"/>
          <w:szCs w:val="22"/>
        </w:rPr>
        <w:footnoteReference w:id="2"/>
      </w:r>
      <w:r w:rsidR="00F40BAA">
        <w:rPr>
          <w:rFonts w:ascii="Arial" w:hAnsi="Arial" w:cs="Arial"/>
          <w:sz w:val="22"/>
          <w:szCs w:val="22"/>
        </w:rPr>
        <w:t>.</w:t>
      </w:r>
    </w:p>
    <w:p w:rsidR="00F40BAA" w:rsidRDefault="00F40BAA" w:rsidP="00F40BAA">
      <w:pPr>
        <w:pStyle w:val="ListParagraph"/>
        <w:ind w:left="360"/>
        <w:jc w:val="both"/>
        <w:rPr>
          <w:rFonts w:ascii="Arial" w:hAnsi="Arial" w:cs="Arial"/>
          <w:sz w:val="22"/>
          <w:szCs w:val="22"/>
        </w:rPr>
      </w:pPr>
    </w:p>
    <w:p w:rsidR="00F40BAA" w:rsidRDefault="00F40BAA" w:rsidP="00244657">
      <w:pPr>
        <w:pStyle w:val="ListParagraph"/>
        <w:numPr>
          <w:ilvl w:val="0"/>
          <w:numId w:val="1"/>
        </w:numPr>
        <w:ind w:left="360"/>
        <w:jc w:val="both"/>
        <w:rPr>
          <w:rFonts w:ascii="Arial" w:hAnsi="Arial" w:cs="Arial"/>
          <w:sz w:val="22"/>
          <w:szCs w:val="22"/>
        </w:rPr>
      </w:pPr>
      <w:bookmarkStart w:id="0" w:name="_Ref298773403"/>
      <w:r>
        <w:rPr>
          <w:rFonts w:ascii="Arial" w:hAnsi="Arial" w:cs="Arial"/>
          <w:sz w:val="22"/>
          <w:szCs w:val="22"/>
        </w:rPr>
        <w:t>In order to avoid submerging the results of students in a few severely affected schools in the results of lesser affected schools, we divided schools into three groups:</w:t>
      </w:r>
      <w:bookmarkEnd w:id="0"/>
      <w:r>
        <w:rPr>
          <w:rFonts w:ascii="Arial" w:hAnsi="Arial" w:cs="Arial"/>
          <w:sz w:val="22"/>
          <w:szCs w:val="22"/>
        </w:rPr>
        <w:t xml:space="preserve"> </w:t>
      </w:r>
    </w:p>
    <w:p w:rsidR="00F40BAA" w:rsidRPr="00F40BAA" w:rsidRDefault="00F40BAA" w:rsidP="00F40BAA">
      <w:pPr>
        <w:pStyle w:val="ListParagraph"/>
        <w:rPr>
          <w:rFonts w:ascii="Arial" w:hAnsi="Arial" w:cs="Arial"/>
          <w:sz w:val="22"/>
          <w:szCs w:val="22"/>
        </w:rPr>
      </w:pPr>
    </w:p>
    <w:p w:rsidR="00F40BAA" w:rsidRDefault="00F40BAA" w:rsidP="00F40BAA">
      <w:pPr>
        <w:pStyle w:val="ListParagraph"/>
        <w:numPr>
          <w:ilvl w:val="0"/>
          <w:numId w:val="5"/>
        </w:numPr>
        <w:jc w:val="both"/>
        <w:rPr>
          <w:rFonts w:ascii="Arial" w:hAnsi="Arial" w:cs="Arial"/>
          <w:sz w:val="22"/>
          <w:szCs w:val="22"/>
        </w:rPr>
      </w:pPr>
      <w:r>
        <w:rPr>
          <w:rFonts w:ascii="Arial" w:hAnsi="Arial" w:cs="Arial"/>
          <w:sz w:val="22"/>
          <w:szCs w:val="22"/>
        </w:rPr>
        <w:t xml:space="preserve">a small group of plausibly earthquake-affected schools – </w:t>
      </w:r>
      <w:proofErr w:type="spellStart"/>
      <w:r>
        <w:rPr>
          <w:rFonts w:ascii="Arial" w:hAnsi="Arial" w:cs="Arial"/>
          <w:sz w:val="22"/>
          <w:szCs w:val="22"/>
        </w:rPr>
        <w:t>Kaiapoi</w:t>
      </w:r>
      <w:proofErr w:type="spellEnd"/>
      <w:r>
        <w:rPr>
          <w:rFonts w:ascii="Arial" w:hAnsi="Arial" w:cs="Arial"/>
          <w:sz w:val="22"/>
          <w:szCs w:val="22"/>
        </w:rPr>
        <w:t xml:space="preserve"> High School, </w:t>
      </w:r>
      <w:proofErr w:type="spellStart"/>
      <w:r>
        <w:rPr>
          <w:rFonts w:ascii="Arial" w:hAnsi="Arial" w:cs="Arial"/>
          <w:sz w:val="22"/>
          <w:szCs w:val="22"/>
        </w:rPr>
        <w:t>Darfield</w:t>
      </w:r>
      <w:proofErr w:type="spellEnd"/>
      <w:r>
        <w:rPr>
          <w:rFonts w:ascii="Arial" w:hAnsi="Arial" w:cs="Arial"/>
          <w:sz w:val="22"/>
          <w:szCs w:val="22"/>
        </w:rPr>
        <w:t xml:space="preserve"> High Schools (two schools that might claim they were adversely affected) plus Lincoln High</w:t>
      </w:r>
      <w:r w:rsidRPr="00F40BAA">
        <w:rPr>
          <w:rFonts w:ascii="Arial" w:hAnsi="Arial" w:cs="Arial"/>
          <w:sz w:val="22"/>
          <w:szCs w:val="22"/>
        </w:rPr>
        <w:t xml:space="preserve"> </w:t>
      </w:r>
      <w:r>
        <w:rPr>
          <w:rFonts w:ascii="Arial" w:hAnsi="Arial" w:cs="Arial"/>
          <w:sz w:val="22"/>
          <w:szCs w:val="22"/>
        </w:rPr>
        <w:t>School and Hagley Community College (two schools that have discussed the impacts of the earthquake)</w:t>
      </w:r>
      <w:r w:rsidR="00BD4F1F">
        <w:rPr>
          <w:rStyle w:val="FootnoteReference"/>
          <w:rFonts w:ascii="Arial" w:hAnsi="Arial" w:cs="Arial"/>
          <w:sz w:val="22"/>
          <w:szCs w:val="22"/>
        </w:rPr>
        <w:footnoteReference w:id="3"/>
      </w:r>
    </w:p>
    <w:p w:rsidR="00F40BAA" w:rsidRDefault="00F40BAA" w:rsidP="00F40BAA">
      <w:pPr>
        <w:pStyle w:val="ListParagraph"/>
        <w:numPr>
          <w:ilvl w:val="0"/>
          <w:numId w:val="5"/>
        </w:numPr>
        <w:jc w:val="both"/>
        <w:rPr>
          <w:rFonts w:ascii="Arial" w:hAnsi="Arial" w:cs="Arial"/>
          <w:sz w:val="22"/>
          <w:szCs w:val="22"/>
        </w:rPr>
      </w:pPr>
      <w:r>
        <w:rPr>
          <w:rFonts w:ascii="Arial" w:hAnsi="Arial" w:cs="Arial"/>
          <w:sz w:val="22"/>
          <w:szCs w:val="22"/>
        </w:rPr>
        <w:t xml:space="preserve">the other schools in Christchurch, Selwyn and </w:t>
      </w:r>
      <w:proofErr w:type="spellStart"/>
      <w:r>
        <w:rPr>
          <w:rFonts w:ascii="Arial" w:hAnsi="Arial" w:cs="Arial"/>
          <w:sz w:val="22"/>
          <w:szCs w:val="22"/>
        </w:rPr>
        <w:t>Waimakariri</w:t>
      </w:r>
      <w:proofErr w:type="spellEnd"/>
    </w:p>
    <w:p w:rsidR="00F40BAA" w:rsidRDefault="00F40BAA" w:rsidP="00F40BAA">
      <w:pPr>
        <w:pStyle w:val="ListParagraph"/>
        <w:numPr>
          <w:ilvl w:val="0"/>
          <w:numId w:val="5"/>
        </w:numPr>
        <w:jc w:val="both"/>
        <w:rPr>
          <w:rFonts w:ascii="Arial" w:hAnsi="Arial" w:cs="Arial"/>
          <w:sz w:val="22"/>
          <w:szCs w:val="22"/>
        </w:rPr>
      </w:pPr>
      <w:proofErr w:type="gramStart"/>
      <w:r>
        <w:rPr>
          <w:rFonts w:ascii="Arial" w:hAnsi="Arial" w:cs="Arial"/>
          <w:sz w:val="22"/>
          <w:szCs w:val="22"/>
        </w:rPr>
        <w:t>schools</w:t>
      </w:r>
      <w:proofErr w:type="gramEnd"/>
      <w:r>
        <w:rPr>
          <w:rFonts w:ascii="Arial" w:hAnsi="Arial" w:cs="Arial"/>
          <w:sz w:val="22"/>
          <w:szCs w:val="22"/>
        </w:rPr>
        <w:t xml:space="preserve"> in the rest of New Zealand.</w:t>
      </w:r>
    </w:p>
    <w:p w:rsidR="00F40BAA" w:rsidRPr="00F40BAA" w:rsidRDefault="00F40BAA" w:rsidP="00F40BAA">
      <w:pPr>
        <w:pStyle w:val="ListParagraph"/>
        <w:rPr>
          <w:rFonts w:ascii="Arial" w:hAnsi="Arial" w:cs="Arial"/>
          <w:sz w:val="22"/>
          <w:szCs w:val="22"/>
        </w:rPr>
      </w:pPr>
    </w:p>
    <w:p w:rsidR="00F40BAA" w:rsidRDefault="0051148E" w:rsidP="00244657">
      <w:pPr>
        <w:pStyle w:val="ListParagraph"/>
        <w:numPr>
          <w:ilvl w:val="0"/>
          <w:numId w:val="1"/>
        </w:numPr>
        <w:ind w:left="360"/>
        <w:jc w:val="both"/>
        <w:rPr>
          <w:rFonts w:ascii="Arial" w:hAnsi="Arial" w:cs="Arial"/>
          <w:sz w:val="22"/>
          <w:szCs w:val="22"/>
        </w:rPr>
      </w:pPr>
      <w:r w:rsidRPr="0051148E">
        <w:rPr>
          <w:rFonts w:ascii="Arial" w:hAnsi="Arial" w:cs="Arial"/>
          <w:sz w:val="22"/>
          <w:szCs w:val="22"/>
        </w:rPr>
        <w:t xml:space="preserve">We used mixed model regression. </w:t>
      </w:r>
      <w:r w:rsidR="00F40BAA" w:rsidRPr="0051148E">
        <w:rPr>
          <w:rFonts w:ascii="Arial" w:hAnsi="Arial" w:cs="Arial"/>
          <w:sz w:val="22"/>
          <w:szCs w:val="22"/>
        </w:rPr>
        <w:t xml:space="preserve">We used a cohort approach, looking at the 2010 level 3 </w:t>
      </w:r>
      <w:proofErr w:type="gramStart"/>
      <w:r w:rsidR="00F40BAA" w:rsidRPr="0051148E">
        <w:rPr>
          <w:rFonts w:ascii="Arial" w:hAnsi="Arial" w:cs="Arial"/>
          <w:sz w:val="22"/>
          <w:szCs w:val="22"/>
        </w:rPr>
        <w:t>group</w:t>
      </w:r>
      <w:proofErr w:type="gramEnd"/>
      <w:r w:rsidR="00F40BAA" w:rsidRPr="0051148E">
        <w:rPr>
          <w:rFonts w:ascii="Arial" w:hAnsi="Arial" w:cs="Arial"/>
          <w:sz w:val="22"/>
          <w:szCs w:val="22"/>
        </w:rPr>
        <w:t xml:space="preserve"> in relation to the performance of the same group at other levels and in previous years – rather than comparing</w:t>
      </w:r>
      <w:r w:rsidR="001E7F26" w:rsidRPr="0051148E">
        <w:rPr>
          <w:rFonts w:ascii="Arial" w:hAnsi="Arial" w:cs="Arial"/>
          <w:sz w:val="22"/>
          <w:szCs w:val="22"/>
        </w:rPr>
        <w:t xml:space="preserve"> one group’s results with the results of another cohort in a previous year – thereby eliminating </w:t>
      </w:r>
      <w:r w:rsidRPr="0051148E">
        <w:rPr>
          <w:rFonts w:ascii="Arial" w:hAnsi="Arial" w:cs="Arial"/>
          <w:sz w:val="22"/>
          <w:szCs w:val="22"/>
        </w:rPr>
        <w:t xml:space="preserve">variations </w:t>
      </w:r>
      <w:r w:rsidR="001E7F26" w:rsidRPr="0051148E">
        <w:rPr>
          <w:rFonts w:ascii="Arial" w:hAnsi="Arial" w:cs="Arial"/>
          <w:sz w:val="22"/>
          <w:szCs w:val="22"/>
        </w:rPr>
        <w:t xml:space="preserve">that could be due to </w:t>
      </w:r>
      <w:r w:rsidRPr="0051148E">
        <w:rPr>
          <w:rFonts w:ascii="Arial" w:hAnsi="Arial" w:cs="Arial"/>
          <w:sz w:val="22"/>
          <w:szCs w:val="22"/>
        </w:rPr>
        <w:t>differences between years.</w:t>
      </w:r>
    </w:p>
    <w:p w:rsidR="0051148E" w:rsidRDefault="0051148E" w:rsidP="0051148E">
      <w:pPr>
        <w:pStyle w:val="ListParagraph"/>
        <w:ind w:left="360"/>
        <w:jc w:val="both"/>
        <w:rPr>
          <w:rFonts w:ascii="Arial" w:hAnsi="Arial" w:cs="Arial"/>
          <w:sz w:val="22"/>
          <w:szCs w:val="22"/>
        </w:rPr>
      </w:pPr>
    </w:p>
    <w:p w:rsidR="0051148E" w:rsidRDefault="00905960" w:rsidP="00244657">
      <w:pPr>
        <w:pStyle w:val="ListParagraph"/>
        <w:numPr>
          <w:ilvl w:val="0"/>
          <w:numId w:val="1"/>
        </w:numPr>
        <w:ind w:left="360"/>
        <w:jc w:val="both"/>
        <w:rPr>
          <w:rFonts w:ascii="Arial" w:hAnsi="Arial" w:cs="Arial"/>
          <w:sz w:val="22"/>
          <w:szCs w:val="22"/>
        </w:rPr>
      </w:pPr>
      <w:r>
        <w:rPr>
          <w:rFonts w:ascii="Arial" w:hAnsi="Arial" w:cs="Arial"/>
          <w:sz w:val="22"/>
          <w:szCs w:val="22"/>
        </w:rPr>
        <w:t xml:space="preserve">Figure 1 shows the </w:t>
      </w:r>
      <w:r w:rsidR="009262D3">
        <w:rPr>
          <w:rFonts w:ascii="Arial" w:hAnsi="Arial" w:cs="Arial"/>
          <w:sz w:val="22"/>
          <w:szCs w:val="22"/>
        </w:rPr>
        <w:t xml:space="preserve">(actual) </w:t>
      </w:r>
      <w:r w:rsidR="00F36FAC">
        <w:rPr>
          <w:rFonts w:ascii="Arial" w:hAnsi="Arial" w:cs="Arial"/>
          <w:sz w:val="22"/>
          <w:szCs w:val="22"/>
        </w:rPr>
        <w:t>mean NCEA achievement</w:t>
      </w:r>
      <w:r>
        <w:rPr>
          <w:rFonts w:ascii="Arial" w:hAnsi="Arial" w:cs="Arial"/>
          <w:sz w:val="22"/>
          <w:szCs w:val="22"/>
        </w:rPr>
        <w:t xml:space="preserve"> </w:t>
      </w:r>
      <w:r w:rsidR="00F36FAC">
        <w:rPr>
          <w:rFonts w:ascii="Arial" w:hAnsi="Arial" w:cs="Arial"/>
          <w:sz w:val="22"/>
          <w:szCs w:val="22"/>
        </w:rPr>
        <w:t xml:space="preserve">scores </w:t>
      </w:r>
      <w:r>
        <w:rPr>
          <w:rFonts w:ascii="Arial" w:hAnsi="Arial" w:cs="Arial"/>
          <w:sz w:val="22"/>
          <w:szCs w:val="22"/>
        </w:rPr>
        <w:t>for students completing NCEA level 3 in 2010.</w:t>
      </w:r>
      <w:r w:rsidR="00F36FAC">
        <w:rPr>
          <w:rFonts w:ascii="Arial" w:hAnsi="Arial" w:cs="Arial"/>
          <w:sz w:val="22"/>
          <w:szCs w:val="22"/>
        </w:rPr>
        <w:t xml:space="preserve">  It shows that:</w:t>
      </w:r>
    </w:p>
    <w:p w:rsidR="00F36FAC" w:rsidRPr="00F36FAC" w:rsidRDefault="00F36FAC" w:rsidP="00F36FAC">
      <w:pPr>
        <w:pStyle w:val="ListParagraph"/>
        <w:rPr>
          <w:rFonts w:ascii="Arial" w:hAnsi="Arial" w:cs="Arial"/>
          <w:sz w:val="22"/>
          <w:szCs w:val="22"/>
        </w:rPr>
      </w:pPr>
    </w:p>
    <w:p w:rsidR="00F36FAC" w:rsidRDefault="00F36FAC" w:rsidP="009262D3">
      <w:pPr>
        <w:pStyle w:val="ListParagraph"/>
        <w:numPr>
          <w:ilvl w:val="0"/>
          <w:numId w:val="6"/>
        </w:numPr>
        <w:jc w:val="both"/>
        <w:rPr>
          <w:rFonts w:ascii="Arial" w:hAnsi="Arial" w:cs="Arial"/>
          <w:sz w:val="22"/>
          <w:szCs w:val="22"/>
        </w:rPr>
      </w:pPr>
      <w:r>
        <w:rPr>
          <w:rFonts w:ascii="Arial" w:hAnsi="Arial" w:cs="Arial"/>
          <w:sz w:val="22"/>
          <w:szCs w:val="22"/>
        </w:rPr>
        <w:t xml:space="preserve">The four earthquake-affected schools performed at a slightly lower level than the rest of New Zealand, but that the performance in level 3 in 2010 was roughly on a par with </w:t>
      </w:r>
      <w:r w:rsidR="002014FA">
        <w:rPr>
          <w:rFonts w:ascii="Arial" w:hAnsi="Arial" w:cs="Arial"/>
          <w:sz w:val="22"/>
          <w:szCs w:val="22"/>
        </w:rPr>
        <w:t>the performance of those schools in previous years, when compared with the performance of the rest of New Zealand</w:t>
      </w:r>
    </w:p>
    <w:p w:rsidR="002014FA" w:rsidRPr="002014FA" w:rsidRDefault="002014FA" w:rsidP="002014FA">
      <w:pPr>
        <w:pStyle w:val="ListParagraph"/>
        <w:rPr>
          <w:rFonts w:ascii="Arial" w:hAnsi="Arial" w:cs="Arial"/>
          <w:sz w:val="22"/>
          <w:szCs w:val="22"/>
        </w:rPr>
      </w:pPr>
    </w:p>
    <w:p w:rsidR="002014FA" w:rsidRDefault="002014FA" w:rsidP="009262D3">
      <w:pPr>
        <w:pStyle w:val="ListParagraph"/>
        <w:numPr>
          <w:ilvl w:val="0"/>
          <w:numId w:val="6"/>
        </w:numPr>
        <w:jc w:val="both"/>
        <w:rPr>
          <w:rFonts w:ascii="Arial" w:hAnsi="Arial" w:cs="Arial"/>
          <w:sz w:val="22"/>
          <w:szCs w:val="22"/>
        </w:rPr>
      </w:pPr>
      <w:r>
        <w:rPr>
          <w:rFonts w:ascii="Arial" w:hAnsi="Arial" w:cs="Arial"/>
          <w:sz w:val="22"/>
          <w:szCs w:val="22"/>
        </w:rPr>
        <w:t>The ‘rest of Canterbury’ schools performed better than the rest of New Zealand in each of the years and the relationship in 2010 between their performance and that of the rest of New Zealand was roughly the same as the relationship in earlier years.</w:t>
      </w:r>
    </w:p>
    <w:p w:rsidR="00F36FAC" w:rsidRDefault="00F36FAC" w:rsidP="00F36FAC">
      <w:pPr>
        <w:pStyle w:val="ListParagraph"/>
        <w:rPr>
          <w:rFonts w:ascii="Arial" w:hAnsi="Arial" w:cs="Arial"/>
          <w:sz w:val="22"/>
          <w:szCs w:val="22"/>
        </w:rPr>
      </w:pPr>
    </w:p>
    <w:p w:rsidR="002014FA" w:rsidRDefault="002014FA" w:rsidP="002014FA">
      <w:pPr>
        <w:pStyle w:val="ListParagraph"/>
        <w:ind w:left="360"/>
        <w:rPr>
          <w:rFonts w:ascii="Arial" w:hAnsi="Arial" w:cs="Arial"/>
          <w:b/>
          <w:sz w:val="20"/>
          <w:szCs w:val="20"/>
        </w:rPr>
      </w:pPr>
    </w:p>
    <w:p w:rsidR="002014FA" w:rsidRDefault="002014FA" w:rsidP="002014FA">
      <w:pPr>
        <w:pStyle w:val="ListParagraph"/>
        <w:ind w:left="360"/>
        <w:rPr>
          <w:rFonts w:ascii="Arial" w:hAnsi="Arial" w:cs="Arial"/>
          <w:b/>
          <w:sz w:val="20"/>
          <w:szCs w:val="20"/>
        </w:rPr>
      </w:pPr>
    </w:p>
    <w:p w:rsidR="002014FA" w:rsidRDefault="002014FA" w:rsidP="002014FA">
      <w:pPr>
        <w:pStyle w:val="ListParagraph"/>
        <w:ind w:left="360"/>
        <w:rPr>
          <w:rFonts w:ascii="Arial" w:hAnsi="Arial" w:cs="Arial"/>
          <w:b/>
          <w:sz w:val="20"/>
          <w:szCs w:val="20"/>
        </w:rPr>
      </w:pPr>
    </w:p>
    <w:p w:rsidR="002014FA" w:rsidRDefault="002014FA" w:rsidP="002014FA">
      <w:pPr>
        <w:pStyle w:val="ListParagraph"/>
        <w:ind w:left="360"/>
        <w:rPr>
          <w:rFonts w:ascii="Arial" w:hAnsi="Arial" w:cs="Arial"/>
          <w:b/>
          <w:sz w:val="20"/>
          <w:szCs w:val="20"/>
        </w:rPr>
      </w:pPr>
    </w:p>
    <w:p w:rsidR="002014FA" w:rsidRDefault="002014FA" w:rsidP="002014FA">
      <w:pPr>
        <w:pStyle w:val="ListParagraph"/>
        <w:ind w:left="360"/>
        <w:rPr>
          <w:rFonts w:ascii="Arial" w:hAnsi="Arial" w:cs="Arial"/>
          <w:b/>
          <w:sz w:val="20"/>
          <w:szCs w:val="20"/>
        </w:rPr>
      </w:pPr>
    </w:p>
    <w:p w:rsidR="002014FA" w:rsidRPr="002014FA" w:rsidRDefault="002014FA" w:rsidP="002014FA">
      <w:pPr>
        <w:pStyle w:val="ListParagraph"/>
        <w:ind w:left="360"/>
        <w:rPr>
          <w:rFonts w:ascii="Arial" w:hAnsi="Arial" w:cs="Arial"/>
          <w:b/>
          <w:sz w:val="20"/>
          <w:szCs w:val="20"/>
        </w:rPr>
      </w:pPr>
      <w:r w:rsidRPr="002014FA">
        <w:rPr>
          <w:rFonts w:ascii="Arial" w:hAnsi="Arial" w:cs="Arial"/>
          <w:b/>
          <w:sz w:val="20"/>
          <w:szCs w:val="20"/>
        </w:rPr>
        <w:t>Figure 1: Change in actual mean achievement score for students completing NCEA level 3 in 2010, by location of school</w:t>
      </w:r>
    </w:p>
    <w:p w:rsidR="00905960" w:rsidRDefault="00905960" w:rsidP="002014FA">
      <w:pPr>
        <w:pStyle w:val="ListParagraph"/>
        <w:ind w:left="360"/>
        <w:jc w:val="both"/>
        <w:rPr>
          <w:rFonts w:ascii="Arial" w:hAnsi="Arial" w:cs="Arial"/>
          <w:sz w:val="22"/>
          <w:szCs w:val="22"/>
        </w:rPr>
      </w:pPr>
      <w:r w:rsidRPr="00905960">
        <w:rPr>
          <w:rFonts w:ascii="Arial" w:hAnsi="Arial" w:cs="Arial"/>
          <w:noProof/>
          <w:sz w:val="22"/>
          <w:szCs w:val="22"/>
          <w:lang w:val="en-NZ" w:eastAsia="en-NZ"/>
        </w:rPr>
        <w:drawing>
          <wp:inline distT="0" distB="0" distL="0" distR="0">
            <wp:extent cx="2680000" cy="2312000"/>
            <wp:effectExtent l="19050" t="0" r="60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80000" cy="2312000"/>
                    </a:xfrm>
                    <a:prstGeom prst="rect">
                      <a:avLst/>
                    </a:prstGeom>
                    <a:noFill/>
                    <a:ln w="9525">
                      <a:noFill/>
                      <a:miter lim="800000"/>
                      <a:headEnd/>
                      <a:tailEnd/>
                    </a:ln>
                  </pic:spPr>
                </pic:pic>
              </a:graphicData>
            </a:graphic>
          </wp:inline>
        </w:drawing>
      </w:r>
    </w:p>
    <w:p w:rsidR="009262D3" w:rsidRDefault="002014FA" w:rsidP="00244657">
      <w:pPr>
        <w:pStyle w:val="ListParagraph"/>
        <w:numPr>
          <w:ilvl w:val="0"/>
          <w:numId w:val="1"/>
        </w:numPr>
        <w:ind w:left="360"/>
        <w:jc w:val="both"/>
        <w:rPr>
          <w:rFonts w:ascii="Arial" w:hAnsi="Arial" w:cs="Arial"/>
          <w:sz w:val="22"/>
          <w:szCs w:val="22"/>
        </w:rPr>
      </w:pPr>
      <w:r>
        <w:rPr>
          <w:rFonts w:ascii="Arial" w:hAnsi="Arial" w:cs="Arial"/>
          <w:sz w:val="22"/>
          <w:szCs w:val="22"/>
        </w:rPr>
        <w:t xml:space="preserve">The results were modelled using mixed model regression analysis.  </w:t>
      </w:r>
      <w:r w:rsidR="009262D3">
        <w:rPr>
          <w:rFonts w:ascii="Arial" w:hAnsi="Arial" w:cs="Arial"/>
          <w:sz w:val="22"/>
          <w:szCs w:val="22"/>
        </w:rPr>
        <w:t>Figure 2 shows the modelled results and also includes the results for the previous cohort as a comparison.</w:t>
      </w:r>
    </w:p>
    <w:p w:rsidR="009262D3" w:rsidRDefault="009262D3" w:rsidP="009262D3">
      <w:pPr>
        <w:pStyle w:val="ListParagraph"/>
        <w:ind w:left="360"/>
        <w:jc w:val="both"/>
        <w:rPr>
          <w:rFonts w:ascii="Arial" w:hAnsi="Arial" w:cs="Arial"/>
          <w:sz w:val="22"/>
          <w:szCs w:val="22"/>
        </w:rPr>
      </w:pPr>
    </w:p>
    <w:p w:rsidR="009262D3" w:rsidRDefault="002014FA" w:rsidP="00244657">
      <w:pPr>
        <w:pStyle w:val="ListParagraph"/>
        <w:numPr>
          <w:ilvl w:val="0"/>
          <w:numId w:val="1"/>
        </w:numPr>
        <w:ind w:left="360"/>
        <w:jc w:val="both"/>
        <w:rPr>
          <w:rFonts w:ascii="Arial" w:hAnsi="Arial" w:cs="Arial"/>
          <w:sz w:val="22"/>
          <w:szCs w:val="22"/>
        </w:rPr>
      </w:pPr>
      <w:r>
        <w:rPr>
          <w:rFonts w:ascii="Arial" w:hAnsi="Arial" w:cs="Arial"/>
          <w:sz w:val="22"/>
          <w:szCs w:val="22"/>
        </w:rPr>
        <w:t xml:space="preserve">The difference in the slope of the </w:t>
      </w:r>
      <w:r w:rsidR="00CC7AB8">
        <w:rPr>
          <w:rFonts w:ascii="Arial" w:hAnsi="Arial" w:cs="Arial"/>
          <w:sz w:val="22"/>
          <w:szCs w:val="22"/>
        </w:rPr>
        <w:t>line</w:t>
      </w:r>
      <w:r>
        <w:rPr>
          <w:rFonts w:ascii="Arial" w:hAnsi="Arial" w:cs="Arial"/>
          <w:sz w:val="22"/>
          <w:szCs w:val="22"/>
        </w:rPr>
        <w:t xml:space="preserve"> </w:t>
      </w:r>
      <w:r w:rsidR="00CC7AB8">
        <w:rPr>
          <w:rFonts w:ascii="Arial" w:hAnsi="Arial" w:cs="Arial"/>
          <w:sz w:val="22"/>
          <w:szCs w:val="22"/>
        </w:rPr>
        <w:t xml:space="preserve">between the four earthquake affected schools and the rest of New Zealand schools was not statistically significant. </w:t>
      </w:r>
      <w:r>
        <w:rPr>
          <w:rFonts w:ascii="Arial" w:hAnsi="Arial" w:cs="Arial"/>
          <w:sz w:val="22"/>
          <w:szCs w:val="22"/>
        </w:rPr>
        <w:t xml:space="preserve"> </w:t>
      </w:r>
    </w:p>
    <w:p w:rsidR="009262D3" w:rsidRDefault="009262D3" w:rsidP="009262D3">
      <w:pPr>
        <w:pStyle w:val="ListParagraph"/>
        <w:ind w:left="360"/>
        <w:jc w:val="both"/>
        <w:rPr>
          <w:rFonts w:ascii="Arial" w:hAnsi="Arial" w:cs="Arial"/>
          <w:sz w:val="22"/>
          <w:szCs w:val="22"/>
        </w:rPr>
      </w:pPr>
    </w:p>
    <w:p w:rsidR="00CC7AB8" w:rsidRDefault="00CC7AB8" w:rsidP="00CC7AB8">
      <w:pPr>
        <w:pStyle w:val="ListParagraph"/>
        <w:ind w:left="360"/>
        <w:rPr>
          <w:rFonts w:ascii="Arial" w:hAnsi="Arial" w:cs="Arial"/>
          <w:b/>
          <w:sz w:val="20"/>
          <w:szCs w:val="20"/>
        </w:rPr>
      </w:pPr>
      <w:r w:rsidRPr="002014FA">
        <w:rPr>
          <w:rFonts w:ascii="Arial" w:hAnsi="Arial" w:cs="Arial"/>
          <w:b/>
          <w:sz w:val="20"/>
          <w:szCs w:val="20"/>
        </w:rPr>
        <w:t xml:space="preserve">Figure </w:t>
      </w:r>
      <w:r>
        <w:rPr>
          <w:rFonts w:ascii="Arial" w:hAnsi="Arial" w:cs="Arial"/>
          <w:b/>
          <w:sz w:val="20"/>
          <w:szCs w:val="20"/>
        </w:rPr>
        <w:t>2</w:t>
      </w:r>
      <w:r w:rsidRPr="002014FA">
        <w:rPr>
          <w:rFonts w:ascii="Arial" w:hAnsi="Arial" w:cs="Arial"/>
          <w:b/>
          <w:sz w:val="20"/>
          <w:szCs w:val="20"/>
        </w:rPr>
        <w:t xml:space="preserve">: Change in </w:t>
      </w:r>
      <w:r>
        <w:rPr>
          <w:rFonts w:ascii="Arial" w:hAnsi="Arial" w:cs="Arial"/>
          <w:b/>
          <w:sz w:val="20"/>
          <w:szCs w:val="20"/>
        </w:rPr>
        <w:t>modelled</w:t>
      </w:r>
      <w:r w:rsidRPr="002014FA">
        <w:rPr>
          <w:rFonts w:ascii="Arial" w:hAnsi="Arial" w:cs="Arial"/>
          <w:b/>
          <w:sz w:val="20"/>
          <w:szCs w:val="20"/>
        </w:rPr>
        <w:t xml:space="preserve"> mean achievement score for students completing NCEA level 3 in 2010, by location of school</w:t>
      </w:r>
    </w:p>
    <w:p w:rsidR="00CC7AB8" w:rsidRDefault="00CC7AB8" w:rsidP="00CC7AB8">
      <w:pPr>
        <w:pStyle w:val="ListParagraph"/>
        <w:ind w:left="360"/>
        <w:rPr>
          <w:rFonts w:ascii="Arial" w:hAnsi="Arial" w:cs="Arial"/>
          <w:b/>
          <w:sz w:val="20"/>
          <w:szCs w:val="20"/>
        </w:rPr>
      </w:pPr>
      <w:r>
        <w:rPr>
          <w:rFonts w:ascii="Arial" w:hAnsi="Arial" w:cs="Arial"/>
          <w:b/>
          <w:sz w:val="20"/>
          <w:szCs w:val="20"/>
        </w:rPr>
        <w:t xml:space="preserve">a – 2010 </w:t>
      </w:r>
      <w:r>
        <w:rPr>
          <w:rFonts w:ascii="Arial" w:hAnsi="Arial" w:cs="Arial"/>
          <w:b/>
          <w:sz w:val="20"/>
          <w:szCs w:val="20"/>
        </w:rPr>
        <w:tab/>
        <w:t>b – 2009</w:t>
      </w:r>
    </w:p>
    <w:p w:rsidR="00CC7AB8" w:rsidRPr="002014FA" w:rsidRDefault="00CC7AB8" w:rsidP="00CC7AB8">
      <w:pPr>
        <w:pStyle w:val="ListParagraph"/>
        <w:ind w:left="360"/>
        <w:rPr>
          <w:rFonts w:ascii="Arial" w:hAnsi="Arial" w:cs="Arial"/>
          <w:b/>
          <w:sz w:val="20"/>
          <w:szCs w:val="20"/>
        </w:rPr>
      </w:pPr>
    </w:p>
    <w:tbl>
      <w:tblPr>
        <w:tblStyle w:val="TableGrid"/>
        <w:tblW w:w="867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6"/>
        <w:gridCol w:w="4253"/>
      </w:tblGrid>
      <w:tr w:rsidR="00CC7AB8" w:rsidRPr="00CC7AB8" w:rsidTr="00CC7AB8">
        <w:tc>
          <w:tcPr>
            <w:tcW w:w="4426" w:type="dxa"/>
          </w:tcPr>
          <w:p w:rsidR="00CC7AB8" w:rsidRPr="00CC7AB8" w:rsidRDefault="009262D3" w:rsidP="00CC7AB8">
            <w:pPr>
              <w:pStyle w:val="ListParagraph"/>
              <w:ind w:left="0"/>
              <w:jc w:val="both"/>
              <w:rPr>
                <w:rFonts w:ascii="Arial" w:hAnsi="Arial" w:cs="Arial"/>
                <w:b/>
                <w:sz w:val="20"/>
                <w:szCs w:val="20"/>
              </w:rPr>
            </w:pPr>
            <w:r>
              <w:rPr>
                <w:rFonts w:ascii="Arial" w:hAnsi="Arial" w:cs="Arial"/>
                <w:b/>
                <w:sz w:val="20"/>
                <w:szCs w:val="20"/>
              </w:rPr>
              <w:t>A</w:t>
            </w:r>
          </w:p>
          <w:p w:rsidR="00CC7AB8" w:rsidRDefault="00CC7AB8" w:rsidP="00CC7AB8">
            <w:pPr>
              <w:pStyle w:val="ListParagraph"/>
              <w:ind w:left="0"/>
              <w:jc w:val="both"/>
              <w:rPr>
                <w:rFonts w:ascii="Arial" w:hAnsi="Arial" w:cs="Arial"/>
                <w:b/>
                <w:sz w:val="20"/>
                <w:szCs w:val="20"/>
              </w:rPr>
            </w:pPr>
            <w:r w:rsidRPr="00CC7AB8">
              <w:rPr>
                <w:rFonts w:ascii="Arial" w:hAnsi="Arial" w:cs="Arial"/>
                <w:b/>
                <w:noProof/>
                <w:sz w:val="20"/>
                <w:szCs w:val="20"/>
                <w:lang w:val="en-NZ" w:eastAsia="en-NZ"/>
              </w:rPr>
              <w:drawing>
                <wp:inline distT="0" distB="0" distL="0" distR="0">
                  <wp:extent cx="2688000" cy="23120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88000" cy="2312000"/>
                          </a:xfrm>
                          <a:prstGeom prst="rect">
                            <a:avLst/>
                          </a:prstGeom>
                          <a:noFill/>
                          <a:ln w="9525">
                            <a:noFill/>
                            <a:miter lim="800000"/>
                            <a:headEnd/>
                            <a:tailEnd/>
                          </a:ln>
                        </pic:spPr>
                      </pic:pic>
                    </a:graphicData>
                  </a:graphic>
                </wp:inline>
              </w:drawing>
            </w:r>
          </w:p>
          <w:p w:rsidR="00CC7AB8" w:rsidRPr="00CC7AB8" w:rsidRDefault="00CC7AB8" w:rsidP="00CC7AB8">
            <w:pPr>
              <w:pStyle w:val="ListParagraph"/>
              <w:ind w:left="0"/>
              <w:jc w:val="both"/>
              <w:rPr>
                <w:rFonts w:ascii="Arial" w:hAnsi="Arial" w:cs="Arial"/>
                <w:b/>
                <w:sz w:val="20"/>
                <w:szCs w:val="20"/>
              </w:rPr>
            </w:pPr>
          </w:p>
        </w:tc>
        <w:tc>
          <w:tcPr>
            <w:tcW w:w="4253" w:type="dxa"/>
          </w:tcPr>
          <w:p w:rsidR="00CC7AB8" w:rsidRDefault="00CC7AB8" w:rsidP="00CC7AB8">
            <w:pPr>
              <w:pStyle w:val="ListParagraph"/>
              <w:ind w:left="0"/>
              <w:jc w:val="both"/>
              <w:rPr>
                <w:rFonts w:ascii="Arial" w:hAnsi="Arial" w:cs="Arial"/>
                <w:b/>
                <w:sz w:val="20"/>
                <w:szCs w:val="20"/>
              </w:rPr>
            </w:pPr>
            <w:r>
              <w:rPr>
                <w:rFonts w:ascii="Arial" w:hAnsi="Arial" w:cs="Arial"/>
                <w:b/>
                <w:sz w:val="20"/>
                <w:szCs w:val="20"/>
              </w:rPr>
              <w:t>b</w:t>
            </w:r>
          </w:p>
          <w:p w:rsidR="00CC7AB8" w:rsidRPr="00CC7AB8" w:rsidRDefault="00CC7AB8" w:rsidP="00CC7AB8">
            <w:pPr>
              <w:pStyle w:val="ListParagraph"/>
              <w:ind w:left="0"/>
              <w:jc w:val="both"/>
              <w:rPr>
                <w:rFonts w:ascii="Arial" w:hAnsi="Arial" w:cs="Arial"/>
                <w:b/>
                <w:sz w:val="20"/>
                <w:szCs w:val="20"/>
              </w:rPr>
            </w:pPr>
            <w:r w:rsidRPr="00CC7AB8">
              <w:rPr>
                <w:rFonts w:ascii="Arial" w:hAnsi="Arial" w:cs="Arial"/>
                <w:b/>
                <w:noProof/>
                <w:sz w:val="20"/>
                <w:szCs w:val="20"/>
                <w:lang w:val="en-NZ" w:eastAsia="en-NZ"/>
              </w:rPr>
              <w:drawing>
                <wp:inline distT="0" distB="0" distL="0" distR="0">
                  <wp:extent cx="2712000" cy="22960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12000" cy="2296000"/>
                          </a:xfrm>
                          <a:prstGeom prst="rect">
                            <a:avLst/>
                          </a:prstGeom>
                          <a:noFill/>
                          <a:ln w="9525">
                            <a:noFill/>
                            <a:miter lim="800000"/>
                            <a:headEnd/>
                            <a:tailEnd/>
                          </a:ln>
                        </pic:spPr>
                      </pic:pic>
                    </a:graphicData>
                  </a:graphic>
                </wp:inline>
              </w:drawing>
            </w:r>
          </w:p>
        </w:tc>
      </w:tr>
    </w:tbl>
    <w:p w:rsidR="008108AC" w:rsidRDefault="001A2E3D" w:rsidP="00244657">
      <w:pPr>
        <w:pStyle w:val="ListParagraph"/>
        <w:numPr>
          <w:ilvl w:val="0"/>
          <w:numId w:val="1"/>
        </w:numPr>
        <w:ind w:left="360"/>
        <w:jc w:val="both"/>
        <w:rPr>
          <w:rFonts w:ascii="Arial" w:hAnsi="Arial" w:cs="Arial"/>
          <w:sz w:val="22"/>
          <w:szCs w:val="22"/>
        </w:rPr>
      </w:pPr>
      <w:r>
        <w:rPr>
          <w:rFonts w:ascii="Arial" w:hAnsi="Arial" w:cs="Arial"/>
          <w:sz w:val="22"/>
          <w:szCs w:val="22"/>
        </w:rPr>
        <w:t>While there is no significant difference between the gradient of the four earthquake affected schools and the rest of New Zealand in 2010, there was a statistically significant difference between performance on those four schools and performance in the rest of New Zealand in 2009</w:t>
      </w:r>
      <w:r w:rsidR="008108AC">
        <w:rPr>
          <w:rFonts w:ascii="Arial" w:hAnsi="Arial" w:cs="Arial"/>
          <w:sz w:val="22"/>
          <w:szCs w:val="22"/>
        </w:rPr>
        <w:t xml:space="preserve">, when there were no earthquakes. </w:t>
      </w:r>
      <w:r>
        <w:rPr>
          <w:rFonts w:ascii="Arial" w:hAnsi="Arial" w:cs="Arial"/>
          <w:sz w:val="22"/>
          <w:szCs w:val="22"/>
        </w:rPr>
        <w:t xml:space="preserve"> </w:t>
      </w:r>
    </w:p>
    <w:p w:rsidR="00BD4F1F" w:rsidRDefault="00BD4F1F" w:rsidP="00BD4F1F">
      <w:pPr>
        <w:pStyle w:val="ListParagraph"/>
        <w:ind w:left="360"/>
        <w:jc w:val="both"/>
        <w:rPr>
          <w:rFonts w:ascii="Arial" w:hAnsi="Arial" w:cs="Arial"/>
          <w:sz w:val="22"/>
          <w:szCs w:val="22"/>
        </w:rPr>
      </w:pPr>
    </w:p>
    <w:p w:rsidR="000829F2" w:rsidRDefault="00BD4F1F" w:rsidP="00244657">
      <w:pPr>
        <w:pStyle w:val="ListParagraph"/>
        <w:numPr>
          <w:ilvl w:val="0"/>
          <w:numId w:val="1"/>
        </w:numPr>
        <w:ind w:left="360"/>
        <w:jc w:val="both"/>
        <w:rPr>
          <w:rFonts w:ascii="Arial" w:hAnsi="Arial" w:cs="Arial"/>
          <w:sz w:val="22"/>
          <w:szCs w:val="22"/>
        </w:rPr>
      </w:pPr>
      <w:r>
        <w:rPr>
          <w:rFonts w:ascii="Arial" w:hAnsi="Arial" w:cs="Arial"/>
          <w:sz w:val="22"/>
          <w:szCs w:val="22"/>
        </w:rPr>
        <w:t>There is a statistically significant</w:t>
      </w:r>
      <w:r>
        <w:rPr>
          <w:rStyle w:val="FootnoteReference"/>
          <w:rFonts w:ascii="Arial" w:hAnsi="Arial" w:cs="Arial"/>
          <w:sz w:val="22"/>
          <w:szCs w:val="22"/>
        </w:rPr>
        <w:footnoteReference w:id="4"/>
      </w:r>
      <w:r>
        <w:rPr>
          <w:rFonts w:ascii="Arial" w:hAnsi="Arial" w:cs="Arial"/>
          <w:sz w:val="22"/>
          <w:szCs w:val="22"/>
        </w:rPr>
        <w:t xml:space="preserve"> difference between the gradients of the rest of New Zealand line and the rest of Canterbury line, with the latter steeper by 0.4 (-4.7 as opposed to -4.3).  But there is a similar statistically significant difference </w:t>
      </w:r>
      <w:r>
        <w:rPr>
          <w:rFonts w:ascii="Arial" w:hAnsi="Arial" w:cs="Arial"/>
          <w:sz w:val="22"/>
          <w:szCs w:val="22"/>
        </w:rPr>
        <w:lastRenderedPageBreak/>
        <w:t>for those who took NCEA level 3 in 2009.  Again, the difference cannot be plausibly attributed to the earthquakes.</w:t>
      </w:r>
    </w:p>
    <w:p w:rsidR="000829F2" w:rsidRPr="000829F2" w:rsidRDefault="000829F2" w:rsidP="000829F2">
      <w:pPr>
        <w:pStyle w:val="ListParagraph"/>
        <w:rPr>
          <w:rFonts w:ascii="Arial" w:hAnsi="Arial" w:cs="Arial"/>
          <w:sz w:val="22"/>
          <w:szCs w:val="22"/>
        </w:rPr>
      </w:pPr>
    </w:p>
    <w:p w:rsidR="000829F2" w:rsidRDefault="000829F2" w:rsidP="000829F2">
      <w:pPr>
        <w:pStyle w:val="ListParagraph"/>
        <w:numPr>
          <w:ilvl w:val="0"/>
          <w:numId w:val="1"/>
        </w:numPr>
        <w:ind w:left="360"/>
        <w:jc w:val="both"/>
        <w:rPr>
          <w:rFonts w:ascii="Arial" w:hAnsi="Arial" w:cs="Arial"/>
          <w:sz w:val="22"/>
          <w:szCs w:val="22"/>
        </w:rPr>
      </w:pPr>
      <w:r>
        <w:rPr>
          <w:rFonts w:ascii="Arial" w:hAnsi="Arial" w:cs="Arial"/>
          <w:sz w:val="22"/>
          <w:szCs w:val="22"/>
        </w:rPr>
        <w:t>When the same model is applied to NCEA results in 2010 for Wellington schools, the gradient of the slope is the same as the gradient in the four earthquake-affected schools.</w:t>
      </w:r>
    </w:p>
    <w:p w:rsidR="008108AC" w:rsidRDefault="008108AC" w:rsidP="008108AC">
      <w:pPr>
        <w:pStyle w:val="ListParagraph"/>
        <w:rPr>
          <w:rFonts w:ascii="Arial" w:hAnsi="Arial" w:cs="Arial"/>
          <w:sz w:val="22"/>
          <w:szCs w:val="22"/>
        </w:rPr>
      </w:pPr>
    </w:p>
    <w:p w:rsidR="008108AC" w:rsidRDefault="008108AC" w:rsidP="00244657">
      <w:pPr>
        <w:pStyle w:val="ListParagraph"/>
        <w:numPr>
          <w:ilvl w:val="0"/>
          <w:numId w:val="1"/>
        </w:numPr>
        <w:ind w:left="360"/>
        <w:jc w:val="both"/>
        <w:rPr>
          <w:rFonts w:ascii="Arial" w:hAnsi="Arial" w:cs="Arial"/>
          <w:sz w:val="22"/>
          <w:szCs w:val="22"/>
        </w:rPr>
      </w:pPr>
      <w:r>
        <w:rPr>
          <w:rFonts w:ascii="Arial" w:hAnsi="Arial" w:cs="Arial"/>
          <w:sz w:val="22"/>
          <w:szCs w:val="22"/>
        </w:rPr>
        <w:t>Full data is attached at Appendix 2.</w:t>
      </w:r>
    </w:p>
    <w:p w:rsidR="008108AC" w:rsidRPr="008108AC" w:rsidRDefault="008108AC" w:rsidP="008108AC">
      <w:pPr>
        <w:pStyle w:val="ListParagraph"/>
        <w:rPr>
          <w:rFonts w:ascii="Arial" w:hAnsi="Arial" w:cs="Arial"/>
          <w:sz w:val="22"/>
          <w:szCs w:val="22"/>
        </w:rPr>
      </w:pPr>
    </w:p>
    <w:p w:rsidR="008108AC" w:rsidRPr="008108AC" w:rsidRDefault="008108AC" w:rsidP="008108AC">
      <w:pPr>
        <w:jc w:val="both"/>
        <w:rPr>
          <w:rFonts w:ascii="Arial" w:hAnsi="Arial" w:cs="Arial"/>
          <w:b/>
          <w:sz w:val="22"/>
          <w:szCs w:val="22"/>
        </w:rPr>
      </w:pPr>
      <w:r w:rsidRPr="008108AC">
        <w:rPr>
          <w:rFonts w:ascii="Arial" w:hAnsi="Arial" w:cs="Arial"/>
          <w:b/>
          <w:sz w:val="22"/>
          <w:szCs w:val="22"/>
        </w:rPr>
        <w:t>Individual school trends</w:t>
      </w:r>
    </w:p>
    <w:p w:rsidR="008F78F1" w:rsidRDefault="00F7346F" w:rsidP="00244657">
      <w:pPr>
        <w:pStyle w:val="ListParagraph"/>
        <w:numPr>
          <w:ilvl w:val="0"/>
          <w:numId w:val="1"/>
        </w:numPr>
        <w:ind w:left="360"/>
        <w:jc w:val="both"/>
        <w:rPr>
          <w:rFonts w:ascii="Arial" w:hAnsi="Arial" w:cs="Arial"/>
          <w:sz w:val="22"/>
          <w:szCs w:val="22"/>
        </w:rPr>
      </w:pPr>
      <w:r>
        <w:rPr>
          <w:rFonts w:ascii="Arial" w:hAnsi="Arial" w:cs="Arial"/>
          <w:sz w:val="22"/>
          <w:szCs w:val="22"/>
        </w:rPr>
        <w:t xml:space="preserve">As </w:t>
      </w:r>
      <w:r w:rsidR="005B4496">
        <w:rPr>
          <w:rFonts w:ascii="Arial" w:hAnsi="Arial" w:cs="Arial"/>
          <w:sz w:val="22"/>
          <w:szCs w:val="22"/>
        </w:rPr>
        <w:t xml:space="preserve">students progress through NCEA levels and as academic </w:t>
      </w:r>
      <w:r>
        <w:rPr>
          <w:rFonts w:ascii="Arial" w:hAnsi="Arial" w:cs="Arial"/>
          <w:sz w:val="22"/>
          <w:szCs w:val="22"/>
        </w:rPr>
        <w:t xml:space="preserve">work gets more difficult, there is a drop in the mean achievement score </w:t>
      </w:r>
      <w:r w:rsidR="005B4496">
        <w:rPr>
          <w:rFonts w:ascii="Arial" w:hAnsi="Arial" w:cs="Arial"/>
          <w:sz w:val="22"/>
          <w:szCs w:val="22"/>
        </w:rPr>
        <w:t xml:space="preserve">– </w:t>
      </w:r>
      <w:r>
        <w:rPr>
          <w:rFonts w:ascii="Arial" w:hAnsi="Arial" w:cs="Arial"/>
          <w:sz w:val="22"/>
          <w:szCs w:val="22"/>
        </w:rPr>
        <w:t>from</w:t>
      </w:r>
      <w:r w:rsidR="005B4496">
        <w:rPr>
          <w:rFonts w:ascii="Arial" w:hAnsi="Arial" w:cs="Arial"/>
          <w:sz w:val="22"/>
          <w:szCs w:val="22"/>
        </w:rPr>
        <w:t xml:space="preserve"> </w:t>
      </w:r>
      <w:r>
        <w:rPr>
          <w:rFonts w:ascii="Arial" w:hAnsi="Arial" w:cs="Arial"/>
          <w:sz w:val="22"/>
          <w:szCs w:val="22"/>
        </w:rPr>
        <w:t xml:space="preserve">level 1 to level 2 and a further drop between level 2 and level 3. At a national level, the relationship between the mean achievement scores at the three levels of each cohort is </w:t>
      </w:r>
      <w:r w:rsidR="00DA059F">
        <w:rPr>
          <w:rFonts w:ascii="Arial" w:hAnsi="Arial" w:cs="Arial"/>
          <w:sz w:val="22"/>
          <w:szCs w:val="22"/>
        </w:rPr>
        <w:t xml:space="preserve">approximately </w:t>
      </w:r>
      <w:r>
        <w:rPr>
          <w:rFonts w:ascii="Arial" w:hAnsi="Arial" w:cs="Arial"/>
          <w:sz w:val="22"/>
          <w:szCs w:val="22"/>
        </w:rPr>
        <w:t xml:space="preserve">linear – </w:t>
      </w:r>
      <w:proofErr w:type="spellStart"/>
      <w:r>
        <w:rPr>
          <w:rFonts w:ascii="Arial" w:hAnsi="Arial" w:cs="Arial"/>
          <w:sz w:val="22"/>
          <w:szCs w:val="22"/>
        </w:rPr>
        <w:t>ie</w:t>
      </w:r>
      <w:proofErr w:type="spellEnd"/>
      <w:r>
        <w:rPr>
          <w:rFonts w:ascii="Arial" w:hAnsi="Arial" w:cs="Arial"/>
          <w:sz w:val="22"/>
          <w:szCs w:val="22"/>
        </w:rPr>
        <w:t xml:space="preserve"> the difference in the mean between levels 1 and 2 is roughly equal to the difference in the means between</w:t>
      </w:r>
      <w:r w:rsidR="008F78F1">
        <w:rPr>
          <w:rFonts w:ascii="Arial" w:hAnsi="Arial" w:cs="Arial"/>
          <w:sz w:val="22"/>
          <w:szCs w:val="22"/>
        </w:rPr>
        <w:t xml:space="preserve"> levels 2 and 3, so that the graph is </w:t>
      </w:r>
      <w:r w:rsidR="00DA059F">
        <w:rPr>
          <w:rFonts w:ascii="Arial" w:hAnsi="Arial" w:cs="Arial"/>
          <w:sz w:val="22"/>
          <w:szCs w:val="22"/>
        </w:rPr>
        <w:t xml:space="preserve">essentially </w:t>
      </w:r>
      <w:r w:rsidR="008F78F1">
        <w:rPr>
          <w:rFonts w:ascii="Arial" w:hAnsi="Arial" w:cs="Arial"/>
          <w:sz w:val="22"/>
          <w:szCs w:val="22"/>
        </w:rPr>
        <w:t>a straight line.</w:t>
      </w:r>
    </w:p>
    <w:p w:rsidR="008F78F1" w:rsidRDefault="008F78F1" w:rsidP="008F78F1">
      <w:pPr>
        <w:pStyle w:val="ListParagraph"/>
        <w:ind w:left="360"/>
        <w:jc w:val="both"/>
        <w:rPr>
          <w:rFonts w:ascii="Arial" w:hAnsi="Arial" w:cs="Arial"/>
          <w:sz w:val="22"/>
          <w:szCs w:val="22"/>
        </w:rPr>
      </w:pPr>
    </w:p>
    <w:p w:rsidR="008108AC" w:rsidRPr="005B4496" w:rsidRDefault="008F78F1" w:rsidP="005B4496">
      <w:pPr>
        <w:pStyle w:val="ListParagraph"/>
        <w:numPr>
          <w:ilvl w:val="0"/>
          <w:numId w:val="1"/>
        </w:numPr>
        <w:ind w:left="426" w:hanging="426"/>
        <w:jc w:val="both"/>
        <w:rPr>
          <w:rFonts w:ascii="Arial" w:hAnsi="Arial" w:cs="Arial"/>
          <w:sz w:val="22"/>
          <w:szCs w:val="22"/>
        </w:rPr>
      </w:pPr>
      <w:r>
        <w:rPr>
          <w:rFonts w:ascii="Arial" w:hAnsi="Arial" w:cs="Arial"/>
          <w:sz w:val="22"/>
          <w:szCs w:val="22"/>
        </w:rPr>
        <w:t>But the national data may be masking the situation in individual schools whose results may have deteriorated between level 2 and level 3 at a faster rate than expected.</w:t>
      </w:r>
      <w:r w:rsidR="005B4496" w:rsidRPr="005B4496">
        <w:rPr>
          <w:rFonts w:ascii="Arial" w:hAnsi="Arial" w:cs="Arial"/>
          <w:sz w:val="22"/>
          <w:szCs w:val="22"/>
        </w:rPr>
        <w:t xml:space="preserve"> If there is an earthquake effect, we</w:t>
      </w:r>
      <w:r w:rsidR="005B4496">
        <w:rPr>
          <w:rFonts w:ascii="Arial" w:hAnsi="Arial" w:cs="Arial"/>
          <w:sz w:val="22"/>
          <w:szCs w:val="22"/>
        </w:rPr>
        <w:t xml:space="preserve"> woul</w:t>
      </w:r>
      <w:r w:rsidR="005B4496" w:rsidRPr="005B4496">
        <w:rPr>
          <w:rFonts w:ascii="Arial" w:hAnsi="Arial" w:cs="Arial"/>
          <w:sz w:val="22"/>
          <w:szCs w:val="22"/>
        </w:rPr>
        <w:t>d expect a larger difference between L</w:t>
      </w:r>
      <w:r w:rsidR="005B4496">
        <w:rPr>
          <w:rFonts w:ascii="Arial" w:hAnsi="Arial" w:cs="Arial"/>
          <w:sz w:val="22"/>
          <w:szCs w:val="22"/>
        </w:rPr>
        <w:t xml:space="preserve">evel </w:t>
      </w:r>
      <w:r w:rsidR="005B4496" w:rsidRPr="005B4496">
        <w:rPr>
          <w:rFonts w:ascii="Arial" w:hAnsi="Arial" w:cs="Arial"/>
          <w:sz w:val="22"/>
          <w:szCs w:val="22"/>
        </w:rPr>
        <w:t>2 and L</w:t>
      </w:r>
      <w:r w:rsidR="005B4496">
        <w:rPr>
          <w:rFonts w:ascii="Arial" w:hAnsi="Arial" w:cs="Arial"/>
          <w:sz w:val="22"/>
          <w:szCs w:val="22"/>
        </w:rPr>
        <w:t xml:space="preserve">evel </w:t>
      </w:r>
      <w:r w:rsidR="005B4496" w:rsidRPr="005B4496">
        <w:rPr>
          <w:rFonts w:ascii="Arial" w:hAnsi="Arial" w:cs="Arial"/>
          <w:sz w:val="22"/>
          <w:szCs w:val="22"/>
        </w:rPr>
        <w:t xml:space="preserve">3, compared </w:t>
      </w:r>
      <w:r w:rsidR="005B4496">
        <w:rPr>
          <w:rFonts w:ascii="Arial" w:hAnsi="Arial" w:cs="Arial"/>
          <w:sz w:val="22"/>
          <w:szCs w:val="22"/>
        </w:rPr>
        <w:t>with</w:t>
      </w:r>
      <w:r w:rsidR="005B4496" w:rsidRPr="005B4496">
        <w:rPr>
          <w:rFonts w:ascii="Arial" w:hAnsi="Arial" w:cs="Arial"/>
          <w:sz w:val="22"/>
          <w:szCs w:val="22"/>
        </w:rPr>
        <w:t xml:space="preserve"> </w:t>
      </w:r>
      <w:r w:rsidR="005B4496">
        <w:rPr>
          <w:rFonts w:ascii="Arial" w:hAnsi="Arial" w:cs="Arial"/>
          <w:sz w:val="22"/>
          <w:szCs w:val="22"/>
        </w:rPr>
        <w:t xml:space="preserve">the difference between </w:t>
      </w:r>
      <w:r w:rsidR="005B4496" w:rsidRPr="005B4496">
        <w:rPr>
          <w:rFonts w:ascii="Arial" w:hAnsi="Arial" w:cs="Arial"/>
          <w:sz w:val="22"/>
          <w:szCs w:val="22"/>
        </w:rPr>
        <w:t>L</w:t>
      </w:r>
      <w:r w:rsidR="005B4496">
        <w:rPr>
          <w:rFonts w:ascii="Arial" w:hAnsi="Arial" w:cs="Arial"/>
          <w:sz w:val="22"/>
          <w:szCs w:val="22"/>
        </w:rPr>
        <w:t xml:space="preserve">evel </w:t>
      </w:r>
      <w:r w:rsidR="005B4496" w:rsidRPr="005B4496">
        <w:rPr>
          <w:rFonts w:ascii="Arial" w:hAnsi="Arial" w:cs="Arial"/>
          <w:sz w:val="22"/>
          <w:szCs w:val="22"/>
        </w:rPr>
        <w:t>1 and L</w:t>
      </w:r>
      <w:r w:rsidR="005B4496">
        <w:rPr>
          <w:rFonts w:ascii="Arial" w:hAnsi="Arial" w:cs="Arial"/>
          <w:sz w:val="22"/>
          <w:szCs w:val="22"/>
        </w:rPr>
        <w:t xml:space="preserve">evel </w:t>
      </w:r>
      <w:r w:rsidR="005B4496" w:rsidRPr="005B4496">
        <w:rPr>
          <w:rFonts w:ascii="Arial" w:hAnsi="Arial" w:cs="Arial"/>
          <w:sz w:val="22"/>
          <w:szCs w:val="22"/>
        </w:rPr>
        <w:t xml:space="preserve">2. If </w:t>
      </w:r>
      <w:r w:rsidR="005B4496">
        <w:rPr>
          <w:rFonts w:ascii="Arial" w:hAnsi="Arial" w:cs="Arial"/>
          <w:sz w:val="22"/>
          <w:szCs w:val="22"/>
        </w:rPr>
        <w:t>the Christchurch</w:t>
      </w:r>
      <w:r w:rsidR="005B4496" w:rsidRPr="005B4496">
        <w:rPr>
          <w:rFonts w:ascii="Arial" w:hAnsi="Arial" w:cs="Arial"/>
          <w:sz w:val="22"/>
          <w:szCs w:val="22"/>
        </w:rPr>
        <w:t xml:space="preserve"> schools </w:t>
      </w:r>
      <w:r w:rsidR="005B4496">
        <w:rPr>
          <w:rFonts w:ascii="Arial" w:hAnsi="Arial" w:cs="Arial"/>
          <w:sz w:val="22"/>
          <w:szCs w:val="22"/>
        </w:rPr>
        <w:t>w</w:t>
      </w:r>
      <w:r w:rsidR="005B4496" w:rsidRPr="005B4496">
        <w:rPr>
          <w:rFonts w:ascii="Arial" w:hAnsi="Arial" w:cs="Arial"/>
          <w:sz w:val="22"/>
          <w:szCs w:val="22"/>
        </w:rPr>
        <w:t>ere</w:t>
      </w:r>
      <w:r w:rsidR="005B4496">
        <w:rPr>
          <w:rFonts w:ascii="Arial" w:hAnsi="Arial" w:cs="Arial"/>
          <w:sz w:val="22"/>
          <w:szCs w:val="22"/>
        </w:rPr>
        <w:t xml:space="preserve"> overrepresented in the list</w:t>
      </w:r>
      <w:r w:rsidR="005B4496" w:rsidRPr="005B4496">
        <w:rPr>
          <w:rFonts w:ascii="Arial" w:hAnsi="Arial" w:cs="Arial"/>
          <w:sz w:val="22"/>
          <w:szCs w:val="22"/>
        </w:rPr>
        <w:t xml:space="preserve">, we might have reason to suspect an </w:t>
      </w:r>
      <w:r w:rsidR="005B4496">
        <w:rPr>
          <w:rFonts w:ascii="Arial" w:hAnsi="Arial" w:cs="Arial"/>
          <w:sz w:val="22"/>
          <w:szCs w:val="22"/>
        </w:rPr>
        <w:t xml:space="preserve">earthquake </w:t>
      </w:r>
      <w:r w:rsidR="005B4496" w:rsidRPr="005B4496">
        <w:rPr>
          <w:rFonts w:ascii="Arial" w:hAnsi="Arial" w:cs="Arial"/>
          <w:sz w:val="22"/>
          <w:szCs w:val="22"/>
        </w:rPr>
        <w:t>effect.</w:t>
      </w:r>
    </w:p>
    <w:p w:rsidR="008F78F1" w:rsidRPr="008F78F1" w:rsidRDefault="008F78F1" w:rsidP="008F78F1">
      <w:pPr>
        <w:pStyle w:val="ListParagraph"/>
        <w:rPr>
          <w:rFonts w:ascii="Arial" w:hAnsi="Arial" w:cs="Arial"/>
          <w:sz w:val="22"/>
          <w:szCs w:val="22"/>
        </w:rPr>
      </w:pPr>
    </w:p>
    <w:p w:rsidR="00BD4F1F" w:rsidRDefault="008F78F1" w:rsidP="00BD4F1F">
      <w:pPr>
        <w:pStyle w:val="ListParagraph"/>
        <w:numPr>
          <w:ilvl w:val="0"/>
          <w:numId w:val="1"/>
        </w:numPr>
        <w:ind w:left="426" w:hanging="426"/>
        <w:jc w:val="both"/>
        <w:rPr>
          <w:rFonts w:ascii="Arial" w:hAnsi="Arial" w:cs="Arial"/>
          <w:sz w:val="22"/>
          <w:szCs w:val="22"/>
        </w:rPr>
      </w:pPr>
      <w:r>
        <w:rPr>
          <w:rFonts w:ascii="Arial" w:hAnsi="Arial" w:cs="Arial"/>
          <w:sz w:val="22"/>
          <w:szCs w:val="22"/>
        </w:rPr>
        <w:t xml:space="preserve">Nationally, there were </w:t>
      </w:r>
      <w:r w:rsidR="000C5240">
        <w:rPr>
          <w:rFonts w:ascii="Arial" w:hAnsi="Arial" w:cs="Arial"/>
          <w:sz w:val="22"/>
          <w:szCs w:val="22"/>
        </w:rPr>
        <w:t xml:space="preserve">84 </w:t>
      </w:r>
      <w:r>
        <w:rPr>
          <w:rFonts w:ascii="Arial" w:hAnsi="Arial" w:cs="Arial"/>
          <w:sz w:val="22"/>
          <w:szCs w:val="22"/>
        </w:rPr>
        <w:t>schools</w:t>
      </w:r>
      <w:r>
        <w:rPr>
          <w:rStyle w:val="FootnoteReference"/>
          <w:rFonts w:ascii="Arial" w:hAnsi="Arial" w:cs="Arial"/>
          <w:sz w:val="22"/>
          <w:szCs w:val="22"/>
        </w:rPr>
        <w:footnoteReference w:id="5"/>
      </w:r>
      <w:r>
        <w:rPr>
          <w:rFonts w:ascii="Arial" w:hAnsi="Arial" w:cs="Arial"/>
          <w:sz w:val="22"/>
          <w:szCs w:val="22"/>
        </w:rPr>
        <w:t xml:space="preserve"> whose </w:t>
      </w:r>
      <w:r w:rsidR="000C5240">
        <w:rPr>
          <w:rFonts w:ascii="Arial" w:hAnsi="Arial" w:cs="Arial"/>
          <w:sz w:val="22"/>
          <w:szCs w:val="22"/>
        </w:rPr>
        <w:t xml:space="preserve">change in their 2010 </w:t>
      </w:r>
      <w:r>
        <w:rPr>
          <w:rFonts w:ascii="Arial" w:hAnsi="Arial" w:cs="Arial"/>
          <w:sz w:val="22"/>
          <w:szCs w:val="22"/>
        </w:rPr>
        <w:t xml:space="preserve">level </w:t>
      </w:r>
      <w:r w:rsidR="000C5240">
        <w:rPr>
          <w:rFonts w:ascii="Arial" w:hAnsi="Arial" w:cs="Arial"/>
          <w:sz w:val="22"/>
          <w:szCs w:val="22"/>
        </w:rPr>
        <w:t xml:space="preserve">2 to level </w:t>
      </w:r>
      <w:r>
        <w:rPr>
          <w:rFonts w:ascii="Arial" w:hAnsi="Arial" w:cs="Arial"/>
          <w:sz w:val="22"/>
          <w:szCs w:val="22"/>
        </w:rPr>
        <w:t xml:space="preserve">3 results were </w:t>
      </w:r>
      <w:r w:rsidR="000C5240">
        <w:rPr>
          <w:rFonts w:ascii="Arial" w:hAnsi="Arial" w:cs="Arial"/>
          <w:sz w:val="22"/>
          <w:szCs w:val="22"/>
        </w:rPr>
        <w:t xml:space="preserve">greater </w:t>
      </w:r>
      <w:r w:rsidR="00DA059F">
        <w:rPr>
          <w:rFonts w:ascii="Arial" w:hAnsi="Arial" w:cs="Arial"/>
          <w:sz w:val="22"/>
          <w:szCs w:val="22"/>
        </w:rPr>
        <w:t xml:space="preserve">than </w:t>
      </w:r>
      <w:r w:rsidR="000C5240">
        <w:rPr>
          <w:rFonts w:ascii="Arial" w:hAnsi="Arial" w:cs="Arial"/>
          <w:sz w:val="22"/>
          <w:szCs w:val="22"/>
        </w:rPr>
        <w:t>the difference in their level 1 to level 2 results</w:t>
      </w:r>
      <w:r>
        <w:rPr>
          <w:rFonts w:ascii="Arial" w:hAnsi="Arial" w:cs="Arial"/>
          <w:sz w:val="22"/>
          <w:szCs w:val="22"/>
        </w:rPr>
        <w:t xml:space="preserve">.  Of the </w:t>
      </w:r>
      <w:r w:rsidR="000C5240">
        <w:rPr>
          <w:rFonts w:ascii="Arial" w:hAnsi="Arial" w:cs="Arial"/>
          <w:sz w:val="22"/>
          <w:szCs w:val="22"/>
        </w:rPr>
        <w:t>84</w:t>
      </w:r>
      <w:r>
        <w:rPr>
          <w:rFonts w:ascii="Arial" w:hAnsi="Arial" w:cs="Arial"/>
          <w:sz w:val="22"/>
          <w:szCs w:val="22"/>
        </w:rPr>
        <w:t xml:space="preserve">, </w:t>
      </w:r>
      <w:r w:rsidR="0092663B">
        <w:rPr>
          <w:rFonts w:ascii="Arial" w:hAnsi="Arial" w:cs="Arial"/>
          <w:sz w:val="22"/>
          <w:szCs w:val="22"/>
        </w:rPr>
        <w:t>two</w:t>
      </w:r>
      <w:r w:rsidR="0092663B">
        <w:rPr>
          <w:rStyle w:val="FootnoteReference"/>
          <w:rFonts w:ascii="Arial" w:hAnsi="Arial" w:cs="Arial"/>
          <w:sz w:val="22"/>
          <w:szCs w:val="22"/>
        </w:rPr>
        <w:footnoteReference w:id="6"/>
      </w:r>
      <w:r w:rsidR="0092663B">
        <w:rPr>
          <w:rFonts w:ascii="Arial" w:hAnsi="Arial" w:cs="Arial"/>
          <w:sz w:val="22"/>
          <w:szCs w:val="22"/>
        </w:rPr>
        <w:t xml:space="preserve"> were from the earthquake-affected group described in paragraph </w:t>
      </w:r>
      <w:r w:rsidR="00681309">
        <w:rPr>
          <w:rFonts w:ascii="Arial" w:hAnsi="Arial" w:cs="Arial"/>
          <w:sz w:val="22"/>
          <w:szCs w:val="22"/>
        </w:rPr>
        <w:fldChar w:fldCharType="begin"/>
      </w:r>
      <w:r w:rsidR="0092663B">
        <w:rPr>
          <w:rFonts w:ascii="Arial" w:hAnsi="Arial" w:cs="Arial"/>
          <w:sz w:val="22"/>
          <w:szCs w:val="22"/>
        </w:rPr>
        <w:instrText xml:space="preserve"> REF _Ref298773403 \r \h </w:instrText>
      </w:r>
      <w:r w:rsidR="00681309">
        <w:rPr>
          <w:rFonts w:ascii="Arial" w:hAnsi="Arial" w:cs="Arial"/>
          <w:sz w:val="22"/>
          <w:szCs w:val="22"/>
        </w:rPr>
      </w:r>
      <w:r w:rsidR="00681309">
        <w:rPr>
          <w:rFonts w:ascii="Arial" w:hAnsi="Arial" w:cs="Arial"/>
          <w:sz w:val="22"/>
          <w:szCs w:val="22"/>
        </w:rPr>
        <w:fldChar w:fldCharType="separate"/>
      </w:r>
      <w:r w:rsidR="009262D3">
        <w:rPr>
          <w:rFonts w:ascii="Arial" w:hAnsi="Arial" w:cs="Arial"/>
          <w:sz w:val="22"/>
          <w:szCs w:val="22"/>
        </w:rPr>
        <w:t>11</w:t>
      </w:r>
      <w:r w:rsidR="00681309">
        <w:rPr>
          <w:rFonts w:ascii="Arial" w:hAnsi="Arial" w:cs="Arial"/>
          <w:sz w:val="22"/>
          <w:szCs w:val="22"/>
        </w:rPr>
        <w:fldChar w:fldCharType="end"/>
      </w:r>
      <w:r w:rsidR="0092663B">
        <w:rPr>
          <w:rFonts w:ascii="Arial" w:hAnsi="Arial" w:cs="Arial"/>
          <w:sz w:val="22"/>
          <w:szCs w:val="22"/>
        </w:rPr>
        <w:t xml:space="preserve"> above, while </w:t>
      </w:r>
      <w:r w:rsidR="000C5240">
        <w:rPr>
          <w:rFonts w:ascii="Arial" w:hAnsi="Arial" w:cs="Arial"/>
          <w:sz w:val="22"/>
          <w:szCs w:val="22"/>
        </w:rPr>
        <w:t xml:space="preserve">ten </w:t>
      </w:r>
      <w:r w:rsidR="0092663B">
        <w:rPr>
          <w:rFonts w:ascii="Arial" w:hAnsi="Arial" w:cs="Arial"/>
          <w:sz w:val="22"/>
          <w:szCs w:val="22"/>
        </w:rPr>
        <w:t>were in the ‘rest of Canterbury’ group.</w:t>
      </w:r>
    </w:p>
    <w:p w:rsidR="00BD4F1F" w:rsidRPr="00BD4F1F" w:rsidRDefault="00BD4F1F" w:rsidP="00BD4F1F">
      <w:pPr>
        <w:pStyle w:val="ListParagraph"/>
        <w:rPr>
          <w:rFonts w:ascii="Arial" w:hAnsi="Arial" w:cs="Arial"/>
          <w:sz w:val="22"/>
          <w:szCs w:val="22"/>
        </w:rPr>
      </w:pPr>
    </w:p>
    <w:p w:rsidR="00BD4F1F" w:rsidRPr="00BD4F1F" w:rsidRDefault="00BD4F1F" w:rsidP="00BD4F1F">
      <w:pPr>
        <w:pStyle w:val="ListParagraph"/>
        <w:numPr>
          <w:ilvl w:val="0"/>
          <w:numId w:val="1"/>
        </w:numPr>
        <w:ind w:left="426" w:hanging="426"/>
        <w:jc w:val="both"/>
        <w:rPr>
          <w:rFonts w:ascii="Arial" w:hAnsi="Arial" w:cs="Arial"/>
          <w:sz w:val="22"/>
          <w:szCs w:val="22"/>
        </w:rPr>
      </w:pPr>
      <w:r w:rsidRPr="00BD4F1F">
        <w:rPr>
          <w:rFonts w:ascii="Arial" w:hAnsi="Arial" w:cs="Arial"/>
          <w:sz w:val="22"/>
          <w:szCs w:val="22"/>
        </w:rPr>
        <w:t>This means that</w:t>
      </w:r>
      <w:r w:rsidR="008F78F1" w:rsidRPr="00BD4F1F">
        <w:rPr>
          <w:rFonts w:ascii="Arial" w:hAnsi="Arial" w:cs="Arial"/>
          <w:sz w:val="22"/>
          <w:szCs w:val="22"/>
        </w:rPr>
        <w:t xml:space="preserve"> </w:t>
      </w:r>
      <w:r w:rsidRPr="00BD4F1F">
        <w:rPr>
          <w:rFonts w:ascii="Arial" w:hAnsi="Arial" w:cs="Arial"/>
          <w:sz w:val="22"/>
          <w:szCs w:val="22"/>
        </w:rPr>
        <w:t xml:space="preserve">24% of the rest of New Zealand schools are in the list, and 39% of Canterbury schools. A chi square test of independence is not significant at the </w:t>
      </w:r>
      <w:r>
        <w:rPr>
          <w:rFonts w:ascii="Arial" w:hAnsi="Arial" w:cs="Arial"/>
          <w:sz w:val="22"/>
          <w:szCs w:val="22"/>
        </w:rPr>
        <w:t>5%</w:t>
      </w:r>
      <w:r w:rsidRPr="00BD4F1F">
        <w:rPr>
          <w:rFonts w:ascii="Arial" w:hAnsi="Arial" w:cs="Arial"/>
          <w:sz w:val="22"/>
          <w:szCs w:val="22"/>
        </w:rPr>
        <w:t xml:space="preserve"> level (p=0.087). That means</w:t>
      </w:r>
      <w:r w:rsidR="00FC0EE2">
        <w:rPr>
          <w:rFonts w:ascii="Arial" w:hAnsi="Arial" w:cs="Arial"/>
          <w:sz w:val="22"/>
          <w:szCs w:val="22"/>
        </w:rPr>
        <w:t xml:space="preserve"> that</w:t>
      </w:r>
      <w:r w:rsidRPr="00BD4F1F">
        <w:rPr>
          <w:rFonts w:ascii="Arial" w:hAnsi="Arial" w:cs="Arial"/>
          <w:sz w:val="22"/>
          <w:szCs w:val="22"/>
        </w:rPr>
        <w:t xml:space="preserve"> the differences seen are not dependent on where the school is.   Looking at the same analysis in 2009, the same figures were 17% for the rest of New Zealand, and 26% for Canterbury schools. These results are also independent of location (p=0.219).</w:t>
      </w:r>
      <w:r w:rsidR="005B4496" w:rsidRPr="00BD4F1F">
        <w:rPr>
          <w:rFonts w:ascii="Arial" w:hAnsi="Arial" w:cs="Arial"/>
          <w:sz w:val="22"/>
          <w:szCs w:val="22"/>
        </w:rPr>
        <w:t xml:space="preserve"> </w:t>
      </w:r>
    </w:p>
    <w:p w:rsidR="00BD4F1F" w:rsidRPr="00BD4F1F" w:rsidRDefault="00BD4F1F" w:rsidP="00BD4F1F">
      <w:pPr>
        <w:pStyle w:val="ListParagraph"/>
        <w:rPr>
          <w:rFonts w:ascii="Arial" w:hAnsi="Arial" w:cs="Arial"/>
          <w:sz w:val="22"/>
          <w:szCs w:val="22"/>
        </w:rPr>
      </w:pPr>
    </w:p>
    <w:p w:rsidR="005B4496" w:rsidRDefault="005B4496" w:rsidP="005B4496">
      <w:pPr>
        <w:pStyle w:val="ListParagraph"/>
        <w:numPr>
          <w:ilvl w:val="0"/>
          <w:numId w:val="1"/>
        </w:numPr>
        <w:ind w:left="426" w:hanging="426"/>
        <w:jc w:val="both"/>
        <w:rPr>
          <w:rFonts w:ascii="Arial" w:hAnsi="Arial" w:cs="Arial"/>
          <w:sz w:val="22"/>
          <w:szCs w:val="22"/>
        </w:rPr>
      </w:pPr>
      <w:r w:rsidRPr="00A84D6D">
        <w:rPr>
          <w:rFonts w:ascii="Arial" w:hAnsi="Arial" w:cs="Arial"/>
          <w:sz w:val="22"/>
          <w:szCs w:val="22"/>
        </w:rPr>
        <w:t>Given the distribution of results a</w:t>
      </w:r>
      <w:r>
        <w:rPr>
          <w:rFonts w:ascii="Arial" w:hAnsi="Arial" w:cs="Arial"/>
          <w:sz w:val="22"/>
          <w:szCs w:val="22"/>
        </w:rPr>
        <w:t>n</w:t>
      </w:r>
      <w:r w:rsidRPr="00A84D6D">
        <w:rPr>
          <w:rFonts w:ascii="Arial" w:hAnsi="Arial" w:cs="Arial"/>
          <w:sz w:val="22"/>
          <w:szCs w:val="22"/>
        </w:rPr>
        <w:t xml:space="preserve">d given the fact that the Canterbury schools were not among those with the highest </w:t>
      </w:r>
      <w:proofErr w:type="gramStart"/>
      <w:r w:rsidRPr="00A84D6D">
        <w:rPr>
          <w:rFonts w:ascii="Arial" w:hAnsi="Arial" w:cs="Arial"/>
          <w:sz w:val="22"/>
          <w:szCs w:val="22"/>
        </w:rPr>
        <w:t>differences,</w:t>
      </w:r>
      <w:proofErr w:type="gramEnd"/>
      <w:r w:rsidRPr="00A84D6D">
        <w:rPr>
          <w:rFonts w:ascii="Arial" w:hAnsi="Arial" w:cs="Arial"/>
          <w:sz w:val="22"/>
          <w:szCs w:val="22"/>
        </w:rPr>
        <w:t xml:space="preserve"> this analysis doesn’t provide grounds to suggest that these schools were negatively impac</w:t>
      </w:r>
      <w:r w:rsidRPr="005B4496">
        <w:rPr>
          <w:rFonts w:ascii="Arial" w:hAnsi="Arial" w:cs="Arial"/>
          <w:sz w:val="22"/>
          <w:szCs w:val="22"/>
        </w:rPr>
        <w:t>ted by the 2010 earthquake.</w:t>
      </w:r>
    </w:p>
    <w:p w:rsidR="00BD4F1F" w:rsidRPr="00BD4F1F" w:rsidRDefault="00BD4F1F" w:rsidP="00BD4F1F">
      <w:pPr>
        <w:pStyle w:val="ListParagraph"/>
        <w:rPr>
          <w:rFonts w:ascii="Arial" w:hAnsi="Arial" w:cs="Arial"/>
          <w:sz w:val="22"/>
          <w:szCs w:val="22"/>
        </w:rPr>
      </w:pPr>
    </w:p>
    <w:p w:rsidR="00BD4F1F" w:rsidRDefault="00BD4F1F" w:rsidP="005B4496">
      <w:pPr>
        <w:pStyle w:val="ListParagraph"/>
        <w:numPr>
          <w:ilvl w:val="0"/>
          <w:numId w:val="1"/>
        </w:numPr>
        <w:ind w:left="426" w:hanging="426"/>
        <w:jc w:val="both"/>
        <w:rPr>
          <w:rFonts w:ascii="Arial" w:hAnsi="Arial" w:cs="Arial"/>
          <w:sz w:val="22"/>
          <w:szCs w:val="22"/>
        </w:rPr>
      </w:pPr>
      <w:r>
        <w:rPr>
          <w:rFonts w:ascii="Arial" w:hAnsi="Arial" w:cs="Arial"/>
          <w:sz w:val="22"/>
          <w:szCs w:val="22"/>
        </w:rPr>
        <w:t>The full data for 2010 is attached at Appendix 3.</w:t>
      </w:r>
    </w:p>
    <w:p w:rsidR="00BD4F1F" w:rsidRPr="00BD4F1F" w:rsidRDefault="00BD4F1F" w:rsidP="00BD4F1F">
      <w:pPr>
        <w:pStyle w:val="ListParagraph"/>
        <w:rPr>
          <w:rFonts w:ascii="Arial" w:hAnsi="Arial" w:cs="Arial"/>
          <w:sz w:val="22"/>
          <w:szCs w:val="22"/>
        </w:rPr>
      </w:pPr>
    </w:p>
    <w:p w:rsidR="00BD4F1F" w:rsidRPr="00BD4F1F" w:rsidRDefault="00BD4F1F" w:rsidP="00BD4F1F">
      <w:pPr>
        <w:pStyle w:val="ListParagraph"/>
        <w:ind w:left="0"/>
        <w:jc w:val="both"/>
        <w:rPr>
          <w:rFonts w:ascii="Arial" w:hAnsi="Arial" w:cs="Arial"/>
          <w:b/>
          <w:sz w:val="22"/>
          <w:szCs w:val="22"/>
        </w:rPr>
      </w:pPr>
      <w:r w:rsidRPr="00BD4F1F">
        <w:rPr>
          <w:rFonts w:ascii="Arial" w:hAnsi="Arial" w:cs="Arial"/>
          <w:b/>
          <w:sz w:val="22"/>
          <w:szCs w:val="22"/>
        </w:rPr>
        <w:t>What can we conclude?</w:t>
      </w:r>
    </w:p>
    <w:p w:rsidR="00BD4F1F" w:rsidRDefault="00BD4F1F" w:rsidP="005B4496">
      <w:pPr>
        <w:pStyle w:val="ListParagraph"/>
        <w:numPr>
          <w:ilvl w:val="0"/>
          <w:numId w:val="1"/>
        </w:numPr>
        <w:ind w:left="426" w:hanging="426"/>
        <w:jc w:val="both"/>
        <w:rPr>
          <w:rFonts w:ascii="Arial" w:hAnsi="Arial" w:cs="Arial"/>
          <w:sz w:val="22"/>
          <w:szCs w:val="22"/>
        </w:rPr>
      </w:pPr>
      <w:r>
        <w:rPr>
          <w:rFonts w:ascii="Arial" w:hAnsi="Arial" w:cs="Arial"/>
          <w:sz w:val="22"/>
          <w:szCs w:val="22"/>
        </w:rPr>
        <w:t>The three analyses reported in this note all suggest that there are differences between the NCEA performance of students at Canterbury schools and schools elsewhere.  However, there are no statistically sound reasons to assign the differences in 2010 to earthquake effects.</w:t>
      </w:r>
    </w:p>
    <w:p w:rsidR="00BD4F1F" w:rsidRDefault="00BD4F1F" w:rsidP="00BD4F1F">
      <w:pPr>
        <w:pStyle w:val="ListParagraph"/>
        <w:ind w:left="426"/>
        <w:jc w:val="both"/>
        <w:rPr>
          <w:rFonts w:ascii="Arial" w:hAnsi="Arial" w:cs="Arial"/>
          <w:sz w:val="22"/>
          <w:szCs w:val="22"/>
        </w:rPr>
      </w:pPr>
    </w:p>
    <w:p w:rsidR="0051148E" w:rsidRPr="00BD4F1F" w:rsidRDefault="00BD4F1F" w:rsidP="00BD4F1F">
      <w:pPr>
        <w:pStyle w:val="ListParagraph"/>
        <w:numPr>
          <w:ilvl w:val="0"/>
          <w:numId w:val="1"/>
        </w:numPr>
        <w:ind w:left="426" w:hanging="426"/>
        <w:jc w:val="both"/>
        <w:rPr>
          <w:rFonts w:ascii="Arial" w:hAnsi="Arial" w:cs="Arial"/>
          <w:sz w:val="22"/>
          <w:szCs w:val="22"/>
        </w:rPr>
      </w:pPr>
      <w:r>
        <w:rPr>
          <w:rFonts w:ascii="Arial" w:hAnsi="Arial" w:cs="Arial"/>
          <w:sz w:val="22"/>
          <w:szCs w:val="22"/>
        </w:rPr>
        <w:t>This analysis will be repeated in 2012 to look at the effects of the 2011 earthquakes.</w:t>
      </w:r>
    </w:p>
    <w:sectPr w:rsidR="0051148E" w:rsidRPr="00BD4F1F" w:rsidSect="0053443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F2" w:rsidRDefault="000829F2" w:rsidP="00AA14A5">
      <w:r>
        <w:separator/>
      </w:r>
    </w:p>
  </w:endnote>
  <w:endnote w:type="continuationSeparator" w:id="0">
    <w:p w:rsidR="000829F2" w:rsidRDefault="000829F2" w:rsidP="00AA1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F2" w:rsidRDefault="000829F2" w:rsidP="00AA14A5">
      <w:r>
        <w:separator/>
      </w:r>
    </w:p>
  </w:footnote>
  <w:footnote w:type="continuationSeparator" w:id="0">
    <w:p w:rsidR="000829F2" w:rsidRDefault="000829F2" w:rsidP="00AA14A5">
      <w:r>
        <w:continuationSeparator/>
      </w:r>
    </w:p>
  </w:footnote>
  <w:footnote w:id="1">
    <w:p w:rsidR="000829F2" w:rsidRPr="00AA14A5" w:rsidRDefault="000829F2">
      <w:pPr>
        <w:pStyle w:val="FootnoteText"/>
        <w:rPr>
          <w:rFonts w:ascii="Arial" w:hAnsi="Arial" w:cs="Arial"/>
          <w:sz w:val="18"/>
          <w:szCs w:val="18"/>
          <w:lang w:val="en-NZ"/>
        </w:rPr>
      </w:pPr>
      <w:r w:rsidRPr="00AA14A5">
        <w:rPr>
          <w:rStyle w:val="FootnoteReference"/>
          <w:rFonts w:ascii="Arial" w:hAnsi="Arial" w:cs="Arial"/>
          <w:sz w:val="18"/>
          <w:szCs w:val="18"/>
        </w:rPr>
        <w:footnoteRef/>
      </w:r>
      <w:r w:rsidRPr="00AA14A5">
        <w:rPr>
          <w:rFonts w:ascii="Arial" w:hAnsi="Arial" w:cs="Arial"/>
          <w:sz w:val="18"/>
          <w:szCs w:val="18"/>
        </w:rPr>
        <w:t xml:space="preserve"> </w:t>
      </w:r>
      <w:r w:rsidRPr="00AA14A5">
        <w:rPr>
          <w:rFonts w:ascii="Arial" w:hAnsi="Arial" w:cs="Arial"/>
          <w:sz w:val="18"/>
          <w:szCs w:val="18"/>
          <w:lang w:val="en-NZ"/>
        </w:rPr>
        <w:t xml:space="preserve">For an explanation of the calculation of NCEA achievement scores and an account of their meaning, refer to Ussher S (2008) </w:t>
      </w:r>
      <w:r w:rsidRPr="00AA14A5">
        <w:rPr>
          <w:rFonts w:ascii="Arial" w:hAnsi="Arial" w:cs="Arial"/>
          <w:i/>
          <w:sz w:val="18"/>
          <w:szCs w:val="18"/>
          <w:lang w:val="en-NZ"/>
        </w:rPr>
        <w:t>Post-school choices</w:t>
      </w:r>
      <w:r w:rsidRPr="00AA14A5">
        <w:rPr>
          <w:rFonts w:ascii="Arial" w:hAnsi="Arial" w:cs="Arial"/>
          <w:sz w:val="18"/>
          <w:szCs w:val="18"/>
          <w:lang w:val="en-NZ"/>
        </w:rPr>
        <w:t xml:space="preserve"> </w:t>
      </w:r>
      <w:hyperlink r:id="rId1" w:history="1">
        <w:r w:rsidRPr="00EB6338">
          <w:rPr>
            <w:rStyle w:val="Hyperlink"/>
            <w:rFonts w:ascii="Arial" w:hAnsi="Arial" w:cs="Arial"/>
            <w:sz w:val="18"/>
            <w:szCs w:val="18"/>
            <w:lang w:val="en-NZ"/>
          </w:rPr>
          <w:t>http://www.educationcounts.govt.nz/publications/tertiary_education/23103</w:t>
        </w:r>
      </w:hyperlink>
      <w:r>
        <w:rPr>
          <w:rFonts w:ascii="Arial" w:hAnsi="Arial" w:cs="Arial"/>
          <w:sz w:val="18"/>
          <w:szCs w:val="18"/>
          <w:lang w:val="en-NZ"/>
        </w:rPr>
        <w:t xml:space="preserve"> </w:t>
      </w:r>
    </w:p>
  </w:footnote>
  <w:footnote w:id="2">
    <w:p w:rsidR="000829F2" w:rsidRPr="00BD4F1F" w:rsidRDefault="000829F2">
      <w:pPr>
        <w:pStyle w:val="FootnoteText"/>
        <w:rPr>
          <w:rFonts w:ascii="Arial" w:hAnsi="Arial" w:cs="Arial"/>
          <w:sz w:val="18"/>
          <w:szCs w:val="18"/>
          <w:lang w:val="en-NZ"/>
        </w:rPr>
      </w:pPr>
      <w:r w:rsidRPr="00BD4F1F">
        <w:rPr>
          <w:rStyle w:val="FootnoteReference"/>
          <w:rFonts w:ascii="Arial" w:hAnsi="Arial" w:cs="Arial"/>
          <w:sz w:val="18"/>
          <w:szCs w:val="18"/>
        </w:rPr>
        <w:footnoteRef/>
      </w:r>
      <w:r w:rsidRPr="00BD4F1F">
        <w:rPr>
          <w:rFonts w:ascii="Arial" w:hAnsi="Arial" w:cs="Arial"/>
          <w:sz w:val="18"/>
          <w:szCs w:val="18"/>
        </w:rPr>
        <w:t xml:space="preserve"> </w:t>
      </w:r>
      <w:r w:rsidRPr="00BD4F1F">
        <w:rPr>
          <w:rFonts w:ascii="Arial" w:hAnsi="Arial" w:cs="Arial"/>
          <w:sz w:val="18"/>
          <w:szCs w:val="18"/>
          <w:lang w:val="en-NZ"/>
        </w:rPr>
        <w:t xml:space="preserve">Engler R (2010a) </w:t>
      </w:r>
      <w:r w:rsidRPr="00BD4F1F">
        <w:rPr>
          <w:rFonts w:ascii="Arial" w:hAnsi="Arial" w:cs="Arial"/>
          <w:i/>
          <w:sz w:val="18"/>
          <w:szCs w:val="18"/>
          <w:lang w:val="en-NZ"/>
        </w:rPr>
        <w:t>School leavers’ progression to bachelors-level study</w:t>
      </w:r>
      <w:r w:rsidRPr="00BD4F1F">
        <w:rPr>
          <w:rFonts w:ascii="Arial" w:hAnsi="Arial" w:cs="Arial"/>
          <w:sz w:val="18"/>
          <w:szCs w:val="18"/>
          <w:lang w:val="en-NZ"/>
        </w:rPr>
        <w:t xml:space="preserve">; Engler R (2011) </w:t>
      </w:r>
      <w:r w:rsidRPr="00BD4F1F">
        <w:rPr>
          <w:rFonts w:ascii="Arial" w:hAnsi="Arial" w:cs="Arial"/>
          <w:i/>
          <w:sz w:val="18"/>
          <w:szCs w:val="18"/>
          <w:lang w:val="en-NZ"/>
        </w:rPr>
        <w:t>School’s out – what next</w:t>
      </w:r>
      <w:r>
        <w:rPr>
          <w:rFonts w:ascii="Arial" w:hAnsi="Arial" w:cs="Arial"/>
          <w:sz w:val="18"/>
          <w:szCs w:val="18"/>
          <w:lang w:val="en-NZ"/>
        </w:rPr>
        <w:t>;</w:t>
      </w:r>
      <w:r w:rsidRPr="00BD4F1F">
        <w:rPr>
          <w:rFonts w:ascii="Arial" w:hAnsi="Arial" w:cs="Arial"/>
          <w:sz w:val="18"/>
          <w:szCs w:val="18"/>
          <w:lang w:val="en-NZ"/>
        </w:rPr>
        <w:t xml:space="preserve"> and Engler R (2010b) </w:t>
      </w:r>
      <w:r w:rsidRPr="00BD4F1F">
        <w:rPr>
          <w:rFonts w:ascii="Arial" w:hAnsi="Arial" w:cs="Arial"/>
          <w:i/>
          <w:sz w:val="18"/>
          <w:szCs w:val="18"/>
          <w:lang w:val="en-NZ"/>
        </w:rPr>
        <w:t>Academic performance of first year bachelors students at university.</w:t>
      </w:r>
      <w:r w:rsidRPr="00BD4F1F">
        <w:rPr>
          <w:rFonts w:ascii="Arial" w:hAnsi="Arial" w:cs="Arial"/>
          <w:sz w:val="18"/>
          <w:szCs w:val="18"/>
          <w:lang w:val="en-NZ"/>
        </w:rPr>
        <w:t xml:space="preserve">  All are available at: </w:t>
      </w:r>
      <w:hyperlink r:id="rId2" w:history="1">
        <w:r w:rsidRPr="00084B1F">
          <w:rPr>
            <w:rStyle w:val="Hyperlink"/>
            <w:rFonts w:ascii="Arial" w:hAnsi="Arial" w:cs="Arial"/>
            <w:sz w:val="18"/>
            <w:szCs w:val="18"/>
            <w:lang w:val="en-NZ"/>
          </w:rPr>
          <w:t>http://www.educationcounts.govt.nz/publications/tertiary_education</w:t>
        </w:r>
      </w:hyperlink>
      <w:r>
        <w:rPr>
          <w:rFonts w:ascii="Arial" w:hAnsi="Arial" w:cs="Arial"/>
          <w:sz w:val="18"/>
          <w:szCs w:val="18"/>
          <w:lang w:val="en-NZ"/>
        </w:rPr>
        <w:t xml:space="preserve"> </w:t>
      </w:r>
    </w:p>
  </w:footnote>
  <w:footnote w:id="3">
    <w:p w:rsidR="000829F2" w:rsidRPr="00BD4F1F" w:rsidRDefault="000829F2">
      <w:pPr>
        <w:pStyle w:val="FootnoteText"/>
        <w:rPr>
          <w:rFonts w:ascii="Arial" w:hAnsi="Arial" w:cs="Arial"/>
          <w:sz w:val="18"/>
          <w:szCs w:val="18"/>
          <w:lang w:val="en-NZ"/>
        </w:rPr>
      </w:pPr>
      <w:r w:rsidRPr="00BD4F1F">
        <w:rPr>
          <w:rStyle w:val="FootnoteReference"/>
          <w:rFonts w:ascii="Arial" w:hAnsi="Arial" w:cs="Arial"/>
          <w:sz w:val="18"/>
          <w:szCs w:val="18"/>
        </w:rPr>
        <w:footnoteRef/>
      </w:r>
      <w:r w:rsidRPr="00BD4F1F">
        <w:rPr>
          <w:rFonts w:ascii="Arial" w:hAnsi="Arial" w:cs="Arial"/>
          <w:sz w:val="18"/>
          <w:szCs w:val="18"/>
        </w:rPr>
        <w:t xml:space="preserve"> </w:t>
      </w:r>
      <w:r w:rsidRPr="00BD4F1F">
        <w:rPr>
          <w:rFonts w:ascii="Arial" w:hAnsi="Arial" w:cs="Arial"/>
          <w:sz w:val="18"/>
          <w:szCs w:val="18"/>
          <w:lang w:val="en-NZ"/>
        </w:rPr>
        <w:t>It would be possible to repeat the analysis for a different subgroup of Canterbury schools.  But it needs a reasonably large number of NCEA Level 3 candidates to produce a statistically robust analysis.</w:t>
      </w:r>
    </w:p>
  </w:footnote>
  <w:footnote w:id="4">
    <w:p w:rsidR="000829F2" w:rsidRPr="00BD4F1F" w:rsidRDefault="000829F2">
      <w:pPr>
        <w:pStyle w:val="FootnoteText"/>
        <w:rPr>
          <w:rFonts w:ascii="Arial" w:hAnsi="Arial" w:cs="Arial"/>
          <w:sz w:val="18"/>
          <w:szCs w:val="18"/>
          <w:lang w:val="en-NZ"/>
        </w:rPr>
      </w:pPr>
      <w:r w:rsidRPr="00BD4F1F">
        <w:rPr>
          <w:rStyle w:val="FootnoteReference"/>
          <w:rFonts w:ascii="Arial" w:hAnsi="Arial" w:cs="Arial"/>
          <w:sz w:val="18"/>
          <w:szCs w:val="18"/>
        </w:rPr>
        <w:footnoteRef/>
      </w:r>
      <w:r w:rsidRPr="00BD4F1F">
        <w:rPr>
          <w:rFonts w:ascii="Arial" w:hAnsi="Arial" w:cs="Arial"/>
          <w:sz w:val="18"/>
          <w:szCs w:val="18"/>
        </w:rPr>
        <w:t xml:space="preserve"> </w:t>
      </w:r>
      <w:proofErr w:type="gramStart"/>
      <w:r w:rsidRPr="00BD4F1F">
        <w:rPr>
          <w:rFonts w:ascii="Arial" w:hAnsi="Arial" w:cs="Arial"/>
          <w:sz w:val="18"/>
          <w:szCs w:val="18"/>
          <w:lang w:val="en-NZ"/>
        </w:rPr>
        <w:t>At the 1% level.</w:t>
      </w:r>
      <w:proofErr w:type="gramEnd"/>
    </w:p>
  </w:footnote>
  <w:footnote w:id="5">
    <w:p w:rsidR="000829F2" w:rsidRPr="008F78F1" w:rsidRDefault="000829F2">
      <w:pPr>
        <w:pStyle w:val="FootnoteText"/>
        <w:rPr>
          <w:rFonts w:ascii="Arial" w:hAnsi="Arial" w:cs="Arial"/>
          <w:sz w:val="18"/>
          <w:szCs w:val="18"/>
          <w:lang w:val="en-NZ"/>
        </w:rPr>
      </w:pPr>
      <w:r w:rsidRPr="008F78F1">
        <w:rPr>
          <w:rStyle w:val="FootnoteReference"/>
          <w:rFonts w:ascii="Arial" w:hAnsi="Arial" w:cs="Arial"/>
          <w:sz w:val="18"/>
          <w:szCs w:val="18"/>
        </w:rPr>
        <w:footnoteRef/>
      </w:r>
      <w:r w:rsidRPr="008F78F1">
        <w:rPr>
          <w:rFonts w:ascii="Arial" w:hAnsi="Arial" w:cs="Arial"/>
          <w:sz w:val="18"/>
          <w:szCs w:val="18"/>
        </w:rPr>
        <w:t xml:space="preserve"> </w:t>
      </w:r>
      <w:r w:rsidRPr="008F78F1">
        <w:rPr>
          <w:rFonts w:ascii="Arial" w:hAnsi="Arial" w:cs="Arial"/>
          <w:sz w:val="18"/>
          <w:szCs w:val="18"/>
          <w:lang w:val="en-NZ"/>
        </w:rPr>
        <w:t>Only schools with 20 or more level 3 candidates are included in this analysis.</w:t>
      </w:r>
    </w:p>
  </w:footnote>
  <w:footnote w:id="6">
    <w:p w:rsidR="000829F2" w:rsidRPr="0092663B" w:rsidRDefault="000829F2">
      <w:pPr>
        <w:pStyle w:val="FootnoteText"/>
        <w:rPr>
          <w:rFonts w:ascii="Arial" w:hAnsi="Arial" w:cs="Arial"/>
          <w:sz w:val="18"/>
          <w:szCs w:val="18"/>
          <w:lang w:val="en-NZ"/>
        </w:rPr>
      </w:pPr>
      <w:r w:rsidRPr="0092663B">
        <w:rPr>
          <w:rStyle w:val="FootnoteReference"/>
          <w:rFonts w:ascii="Arial" w:hAnsi="Arial" w:cs="Arial"/>
          <w:sz w:val="18"/>
          <w:szCs w:val="18"/>
        </w:rPr>
        <w:footnoteRef/>
      </w:r>
      <w:r w:rsidRPr="0092663B">
        <w:rPr>
          <w:rFonts w:ascii="Arial" w:hAnsi="Arial" w:cs="Arial"/>
          <w:sz w:val="18"/>
          <w:szCs w:val="18"/>
        </w:rPr>
        <w:t xml:space="preserve"> </w:t>
      </w:r>
      <w:proofErr w:type="spellStart"/>
      <w:r w:rsidRPr="0092663B">
        <w:rPr>
          <w:rFonts w:ascii="Arial" w:hAnsi="Arial" w:cs="Arial"/>
          <w:sz w:val="18"/>
          <w:szCs w:val="18"/>
          <w:lang w:val="en-NZ"/>
        </w:rPr>
        <w:t>Kaiapoi</w:t>
      </w:r>
      <w:proofErr w:type="spellEnd"/>
      <w:r w:rsidRPr="0092663B">
        <w:rPr>
          <w:rFonts w:ascii="Arial" w:hAnsi="Arial" w:cs="Arial"/>
          <w:sz w:val="18"/>
          <w:szCs w:val="18"/>
          <w:lang w:val="en-NZ"/>
        </w:rPr>
        <w:t xml:space="preserve"> and </w:t>
      </w:r>
      <w:proofErr w:type="spellStart"/>
      <w:r w:rsidRPr="0092663B">
        <w:rPr>
          <w:rFonts w:ascii="Arial" w:hAnsi="Arial" w:cs="Arial"/>
          <w:sz w:val="18"/>
          <w:szCs w:val="18"/>
          <w:lang w:val="en-NZ"/>
        </w:rPr>
        <w:t>Darfield</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5606"/>
    <w:multiLevelType w:val="hybridMultilevel"/>
    <w:tmpl w:val="F2683F9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7E4CAE"/>
    <w:multiLevelType w:val="hybridMultilevel"/>
    <w:tmpl w:val="D24A1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C511425"/>
    <w:multiLevelType w:val="hybridMultilevel"/>
    <w:tmpl w:val="0FAEC9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AB6374B"/>
    <w:multiLevelType w:val="hybridMultilevel"/>
    <w:tmpl w:val="0B5E8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A440008"/>
    <w:multiLevelType w:val="hybridMultilevel"/>
    <w:tmpl w:val="E6F84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5686D97"/>
    <w:multiLevelType w:val="hybridMultilevel"/>
    <w:tmpl w:val="35CC2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44657"/>
    <w:rsid w:val="00011723"/>
    <w:rsid w:val="000426C3"/>
    <w:rsid w:val="000829F2"/>
    <w:rsid w:val="000C5240"/>
    <w:rsid w:val="001A2E3D"/>
    <w:rsid w:val="001D28DF"/>
    <w:rsid w:val="001E7F26"/>
    <w:rsid w:val="002014FA"/>
    <w:rsid w:val="00244657"/>
    <w:rsid w:val="002912ED"/>
    <w:rsid w:val="003E3DF5"/>
    <w:rsid w:val="003E5207"/>
    <w:rsid w:val="00465458"/>
    <w:rsid w:val="004D7CD7"/>
    <w:rsid w:val="0050321C"/>
    <w:rsid w:val="0051148E"/>
    <w:rsid w:val="00534436"/>
    <w:rsid w:val="00586697"/>
    <w:rsid w:val="005B4496"/>
    <w:rsid w:val="00681309"/>
    <w:rsid w:val="006D103D"/>
    <w:rsid w:val="00721866"/>
    <w:rsid w:val="00737AD6"/>
    <w:rsid w:val="008108AC"/>
    <w:rsid w:val="0088723C"/>
    <w:rsid w:val="008F78F1"/>
    <w:rsid w:val="00905960"/>
    <w:rsid w:val="009262D3"/>
    <w:rsid w:val="0092663B"/>
    <w:rsid w:val="00A34023"/>
    <w:rsid w:val="00A739C6"/>
    <w:rsid w:val="00A84D6D"/>
    <w:rsid w:val="00AA14A5"/>
    <w:rsid w:val="00B80797"/>
    <w:rsid w:val="00BD4F1F"/>
    <w:rsid w:val="00BE6257"/>
    <w:rsid w:val="00CC7AB8"/>
    <w:rsid w:val="00D614A2"/>
    <w:rsid w:val="00DA059F"/>
    <w:rsid w:val="00F36FAC"/>
    <w:rsid w:val="00F40BAA"/>
    <w:rsid w:val="00F7346F"/>
    <w:rsid w:val="00FC0EE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4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57"/>
    <w:pPr>
      <w:ind w:left="720"/>
      <w:contextualSpacing/>
    </w:pPr>
  </w:style>
  <w:style w:type="paragraph" w:styleId="FootnoteText">
    <w:name w:val="footnote text"/>
    <w:basedOn w:val="Normal"/>
    <w:link w:val="FootnoteTextChar"/>
    <w:rsid w:val="00AA14A5"/>
    <w:rPr>
      <w:sz w:val="20"/>
      <w:szCs w:val="20"/>
    </w:rPr>
  </w:style>
  <w:style w:type="character" w:customStyle="1" w:styleId="FootnoteTextChar">
    <w:name w:val="Footnote Text Char"/>
    <w:basedOn w:val="DefaultParagraphFont"/>
    <w:link w:val="FootnoteText"/>
    <w:rsid w:val="00AA14A5"/>
    <w:rPr>
      <w:lang w:val="en-GB" w:eastAsia="en-GB"/>
    </w:rPr>
  </w:style>
  <w:style w:type="character" w:styleId="FootnoteReference">
    <w:name w:val="footnote reference"/>
    <w:basedOn w:val="DefaultParagraphFont"/>
    <w:rsid w:val="00AA14A5"/>
    <w:rPr>
      <w:vertAlign w:val="superscript"/>
    </w:rPr>
  </w:style>
  <w:style w:type="character" w:styleId="Hyperlink">
    <w:name w:val="Hyperlink"/>
    <w:basedOn w:val="DefaultParagraphFont"/>
    <w:rsid w:val="00AA14A5"/>
    <w:rPr>
      <w:color w:val="0000FF" w:themeColor="hyperlink"/>
      <w:u w:val="single"/>
    </w:rPr>
  </w:style>
  <w:style w:type="paragraph" w:styleId="BalloonText">
    <w:name w:val="Balloon Text"/>
    <w:basedOn w:val="Normal"/>
    <w:link w:val="BalloonTextChar"/>
    <w:rsid w:val="00905960"/>
    <w:rPr>
      <w:rFonts w:ascii="Tahoma" w:hAnsi="Tahoma" w:cs="Tahoma"/>
      <w:sz w:val="16"/>
      <w:szCs w:val="16"/>
    </w:rPr>
  </w:style>
  <w:style w:type="character" w:customStyle="1" w:styleId="BalloonTextChar">
    <w:name w:val="Balloon Text Char"/>
    <w:basedOn w:val="DefaultParagraphFont"/>
    <w:link w:val="BalloonText"/>
    <w:rsid w:val="00905960"/>
    <w:rPr>
      <w:rFonts w:ascii="Tahoma" w:hAnsi="Tahoma" w:cs="Tahoma"/>
      <w:sz w:val="16"/>
      <w:szCs w:val="16"/>
      <w:lang w:val="en-GB" w:eastAsia="en-GB"/>
    </w:rPr>
  </w:style>
  <w:style w:type="table" w:styleId="TableGrid">
    <w:name w:val="Table Grid"/>
    <w:basedOn w:val="TableNormal"/>
    <w:rsid w:val="00CC7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108AC"/>
    <w:rPr>
      <w:sz w:val="16"/>
      <w:szCs w:val="16"/>
    </w:rPr>
  </w:style>
  <w:style w:type="paragraph" w:styleId="CommentText">
    <w:name w:val="annotation text"/>
    <w:basedOn w:val="Normal"/>
    <w:link w:val="CommentTextChar"/>
    <w:rsid w:val="008108AC"/>
    <w:rPr>
      <w:sz w:val="20"/>
      <w:szCs w:val="20"/>
    </w:rPr>
  </w:style>
  <w:style w:type="character" w:customStyle="1" w:styleId="CommentTextChar">
    <w:name w:val="Comment Text Char"/>
    <w:basedOn w:val="DefaultParagraphFont"/>
    <w:link w:val="CommentText"/>
    <w:rsid w:val="008108AC"/>
    <w:rPr>
      <w:lang w:val="en-GB" w:eastAsia="en-GB"/>
    </w:rPr>
  </w:style>
  <w:style w:type="paragraph" w:styleId="CommentSubject">
    <w:name w:val="annotation subject"/>
    <w:basedOn w:val="CommentText"/>
    <w:next w:val="CommentText"/>
    <w:link w:val="CommentSubjectChar"/>
    <w:rsid w:val="008108AC"/>
    <w:rPr>
      <w:b/>
      <w:bCs/>
    </w:rPr>
  </w:style>
  <w:style w:type="character" w:customStyle="1" w:styleId="CommentSubjectChar">
    <w:name w:val="Comment Subject Char"/>
    <w:basedOn w:val="CommentTextChar"/>
    <w:link w:val="CommentSubject"/>
    <w:rsid w:val="008108AC"/>
    <w:rPr>
      <w:b/>
      <w:bCs/>
    </w:rPr>
  </w:style>
</w:styles>
</file>

<file path=word/webSettings.xml><?xml version="1.0" encoding="utf-8"?>
<w:webSettings xmlns:r="http://schemas.openxmlformats.org/officeDocument/2006/relationships" xmlns:w="http://schemas.openxmlformats.org/wordprocessingml/2006/main">
  <w:divs>
    <w:div w:id="1768236642">
      <w:bodyDiv w:val="1"/>
      <w:marLeft w:val="0"/>
      <w:marRight w:val="0"/>
      <w:marTop w:val="0"/>
      <w:marBottom w:val="0"/>
      <w:divBdr>
        <w:top w:val="none" w:sz="0" w:space="0" w:color="auto"/>
        <w:left w:val="none" w:sz="0" w:space="0" w:color="auto"/>
        <w:bottom w:val="none" w:sz="0" w:space="0" w:color="auto"/>
        <w:right w:val="none" w:sz="0" w:space="0" w:color="auto"/>
      </w:divBdr>
    </w:div>
    <w:div w:id="18644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counts.govt.nz/publications/tertiary_education" TargetMode="External"/><Relationship Id="rId1" Type="http://schemas.openxmlformats.org/officeDocument/2006/relationships/hyperlink" Target="http://www.educationcounts.govt.nz/publications/tertiary_education/23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9CD7-E7D3-41D1-9ECC-2273B414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smythr</dc:creator>
  <cp:keywords/>
  <dc:description/>
  <cp:lastModifiedBy>smythr</cp:lastModifiedBy>
  <cp:revision>5</cp:revision>
  <cp:lastPrinted>2011-07-19T04:03:00Z</cp:lastPrinted>
  <dcterms:created xsi:type="dcterms:W3CDTF">2011-07-19T02:35:00Z</dcterms:created>
  <dcterms:modified xsi:type="dcterms:W3CDTF">2011-07-19T23:40:00Z</dcterms:modified>
</cp:coreProperties>
</file>